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6F02" w:rsidRDefault="00437881">
      <w:pPr>
        <w:pStyle w:val="SinglePara"/>
        <w:jc w:val="right"/>
      </w:pPr>
      <w:r w:rsidRPr="000E4D0D">
        <w:fldChar w:fldCharType="begin"/>
      </w:r>
      <w:r w:rsidRPr="000E4D0D">
        <w:instrText xml:space="preserve"> CREATEDATE \@ "d MMMM, yyyy" \* MERGEFORMAT </w:instrText>
      </w:r>
      <w:r w:rsidRPr="000E4D0D">
        <w:fldChar w:fldCharType="separate"/>
      </w:r>
      <w:r w:rsidR="000E4D0D" w:rsidRPr="000E4D0D">
        <w:rPr>
          <w:noProof/>
        </w:rPr>
        <w:t>30</w:t>
      </w:r>
      <w:r w:rsidR="00EB0400" w:rsidRPr="000E4D0D">
        <w:rPr>
          <w:noProof/>
        </w:rPr>
        <w:t xml:space="preserve"> July</w:t>
      </w:r>
      <w:r w:rsidR="00EE4B22" w:rsidRPr="000E4D0D">
        <w:rPr>
          <w:noProof/>
        </w:rPr>
        <w:t>, 2018</w:t>
      </w:r>
      <w:r w:rsidRPr="000E4D0D">
        <w:rPr>
          <w:noProof/>
        </w:rPr>
        <w:fldChar w:fldCharType="end"/>
      </w:r>
    </w:p>
    <w:p w:rsidR="005F6F02" w:rsidRDefault="005F6F02">
      <w:pPr>
        <w:spacing w:after="0"/>
        <w:jc w:val="right"/>
      </w:pPr>
    </w:p>
    <w:p w:rsidR="00F52F60" w:rsidRDefault="00F52F60" w:rsidP="00F52F60">
      <w:pPr>
        <w:spacing w:after="0"/>
      </w:pPr>
      <w:r>
        <w:t xml:space="preserve">Mr David Thodey AO </w:t>
      </w:r>
    </w:p>
    <w:p w:rsidR="005F6F02" w:rsidRDefault="00F52F60">
      <w:r>
        <w:t>Chair of the Independent Review of the Australian Public Service</w:t>
      </w:r>
      <w:r w:rsidR="00EE4B22">
        <w:br/>
      </w:r>
      <w:r>
        <w:t>Department of Prime Minister and Cabinet</w:t>
      </w:r>
      <w:r w:rsidR="00EE4B22">
        <w:br/>
      </w:r>
      <w:r>
        <w:t>PO Box 6500</w:t>
      </w:r>
      <w:r w:rsidR="00EE4B22">
        <w:br/>
      </w:r>
      <w:r>
        <w:t>Canberra ACT 2600</w:t>
      </w:r>
    </w:p>
    <w:p w:rsidR="005F6F02" w:rsidRDefault="005F6F02"/>
    <w:p w:rsidR="005F6F02" w:rsidRDefault="005F6F02">
      <w:r>
        <w:t xml:space="preserve">Dear </w:t>
      </w:r>
      <w:r w:rsidR="00F52F60">
        <w:t>Mr Thodey</w:t>
      </w:r>
    </w:p>
    <w:p w:rsidR="005F6F02" w:rsidRDefault="00F52F60">
      <w:pPr>
        <w:rPr>
          <w:b/>
          <w:caps/>
        </w:rPr>
      </w:pPr>
      <w:r>
        <w:rPr>
          <w:b/>
          <w:caps/>
        </w:rPr>
        <w:t xml:space="preserve">Submission to the Independent </w:t>
      </w:r>
      <w:r w:rsidR="00EE4B22">
        <w:rPr>
          <w:b/>
          <w:caps/>
        </w:rPr>
        <w:t>Review of the Australian Public Service</w:t>
      </w:r>
      <w:r w:rsidR="002C0C29">
        <w:rPr>
          <w:b/>
          <w:caps/>
        </w:rPr>
        <w:t xml:space="preserve">: </w:t>
      </w:r>
      <w:r w:rsidR="002C0C29" w:rsidRPr="002C0C29">
        <w:rPr>
          <w:b/>
          <w:caps/>
        </w:rPr>
        <w:t>maintaining Australia’s regulatory assets</w:t>
      </w:r>
    </w:p>
    <w:p w:rsidR="00D11CF9" w:rsidRDefault="00F52F60" w:rsidP="00D11CF9">
      <w:pPr>
        <w:spacing w:after="120" w:line="276" w:lineRule="auto"/>
        <w:rPr>
          <w:rFonts w:asciiTheme="minorHAnsi" w:hAnsiTheme="minorHAnsi"/>
          <w:szCs w:val="22"/>
        </w:rPr>
      </w:pPr>
      <w:r>
        <w:rPr>
          <w:rFonts w:asciiTheme="minorHAnsi" w:hAnsiTheme="minorHAnsi"/>
          <w:szCs w:val="22"/>
        </w:rPr>
        <w:t>Thank you for the opportunity to provide a submission to the Independent Review of the Australian Public Service.</w:t>
      </w:r>
      <w:r w:rsidR="001932C7">
        <w:rPr>
          <w:rFonts w:asciiTheme="minorHAnsi" w:hAnsiTheme="minorHAnsi"/>
          <w:szCs w:val="22"/>
        </w:rPr>
        <w:t xml:space="preserve"> </w:t>
      </w:r>
    </w:p>
    <w:p w:rsidR="00F25E6B" w:rsidRDefault="00115F27" w:rsidP="00A237E6">
      <w:pPr>
        <w:spacing w:after="120" w:line="276" w:lineRule="auto"/>
        <w:rPr>
          <w:rFonts w:asciiTheme="minorHAnsi" w:hAnsiTheme="minorHAnsi"/>
          <w:szCs w:val="22"/>
        </w:rPr>
      </w:pPr>
      <w:r>
        <w:rPr>
          <w:rFonts w:asciiTheme="minorHAnsi" w:hAnsiTheme="minorHAnsi"/>
          <w:szCs w:val="22"/>
        </w:rPr>
        <w:t>In</w:t>
      </w:r>
      <w:r w:rsidR="00664B5C">
        <w:rPr>
          <w:rFonts w:asciiTheme="minorHAnsi" w:hAnsiTheme="minorHAnsi"/>
          <w:szCs w:val="22"/>
        </w:rPr>
        <w:t xml:space="preserve"> addition to serving the Government and Ministers of the </w:t>
      </w:r>
      <w:r w:rsidR="006B01A4">
        <w:rPr>
          <w:rFonts w:asciiTheme="minorHAnsi" w:hAnsiTheme="minorHAnsi"/>
          <w:szCs w:val="22"/>
        </w:rPr>
        <w:t>day</w:t>
      </w:r>
      <w:r w:rsidR="00505179">
        <w:rPr>
          <w:rFonts w:asciiTheme="minorHAnsi" w:hAnsiTheme="minorHAnsi"/>
          <w:szCs w:val="22"/>
        </w:rPr>
        <w:t>,</w:t>
      </w:r>
      <w:r w:rsidR="006B01A4">
        <w:rPr>
          <w:rFonts w:asciiTheme="minorHAnsi" w:hAnsiTheme="minorHAnsi"/>
          <w:szCs w:val="22"/>
        </w:rPr>
        <w:t xml:space="preserve"> </w:t>
      </w:r>
      <w:r w:rsidRPr="009944E9">
        <w:rPr>
          <w:rFonts w:asciiTheme="minorHAnsi" w:hAnsiTheme="minorHAnsi"/>
          <w:szCs w:val="22"/>
        </w:rPr>
        <w:t xml:space="preserve">an important role </w:t>
      </w:r>
      <w:r>
        <w:rPr>
          <w:rFonts w:asciiTheme="minorHAnsi" w:hAnsiTheme="minorHAnsi"/>
          <w:szCs w:val="22"/>
        </w:rPr>
        <w:t>for</w:t>
      </w:r>
      <w:r w:rsidRPr="009944E9">
        <w:rPr>
          <w:rFonts w:asciiTheme="minorHAnsi" w:hAnsiTheme="minorHAnsi"/>
          <w:szCs w:val="22"/>
        </w:rPr>
        <w:t xml:space="preserve"> the Australian Public Service </w:t>
      </w:r>
      <w:r w:rsidR="00664B5C">
        <w:rPr>
          <w:rFonts w:asciiTheme="minorHAnsi" w:hAnsiTheme="minorHAnsi"/>
          <w:szCs w:val="22"/>
        </w:rPr>
        <w:t>lies in</w:t>
      </w:r>
      <w:r w:rsidR="00F52F60" w:rsidRPr="009944E9">
        <w:rPr>
          <w:rFonts w:asciiTheme="minorHAnsi" w:hAnsiTheme="minorHAnsi"/>
          <w:szCs w:val="22"/>
        </w:rPr>
        <w:t xml:space="preserve"> design</w:t>
      </w:r>
      <w:r w:rsidR="00664B5C">
        <w:rPr>
          <w:rFonts w:asciiTheme="minorHAnsi" w:hAnsiTheme="minorHAnsi"/>
          <w:szCs w:val="22"/>
        </w:rPr>
        <w:t>ing, maintaining</w:t>
      </w:r>
      <w:r w:rsidR="00F52F60" w:rsidRPr="009944E9">
        <w:rPr>
          <w:rFonts w:asciiTheme="minorHAnsi" w:hAnsiTheme="minorHAnsi"/>
          <w:szCs w:val="22"/>
        </w:rPr>
        <w:t xml:space="preserve"> and administer</w:t>
      </w:r>
      <w:r w:rsidR="00664B5C">
        <w:rPr>
          <w:rFonts w:asciiTheme="minorHAnsi" w:hAnsiTheme="minorHAnsi"/>
          <w:szCs w:val="22"/>
        </w:rPr>
        <w:t>ing</w:t>
      </w:r>
      <w:r w:rsidR="00F52F60" w:rsidRPr="009944E9">
        <w:rPr>
          <w:rFonts w:asciiTheme="minorHAnsi" w:hAnsiTheme="minorHAnsi"/>
          <w:szCs w:val="22"/>
        </w:rPr>
        <w:t xml:space="preserve"> regulatory frameworks.</w:t>
      </w:r>
      <w:r w:rsidR="00AC1CEF">
        <w:rPr>
          <w:rFonts w:asciiTheme="minorHAnsi" w:hAnsiTheme="minorHAnsi"/>
          <w:szCs w:val="22"/>
        </w:rPr>
        <w:t xml:space="preserve"> Many of these have been built over considerable time and represent </w:t>
      </w:r>
      <w:r w:rsidR="00C5153A">
        <w:rPr>
          <w:rFonts w:asciiTheme="minorHAnsi" w:hAnsiTheme="minorHAnsi"/>
          <w:szCs w:val="22"/>
        </w:rPr>
        <w:t xml:space="preserve">major investments of public resources and </w:t>
      </w:r>
      <w:r w:rsidR="00AC1CEF">
        <w:rPr>
          <w:rFonts w:asciiTheme="minorHAnsi" w:hAnsiTheme="minorHAnsi"/>
          <w:szCs w:val="22"/>
        </w:rPr>
        <w:t>important</w:t>
      </w:r>
      <w:r w:rsidR="00645CD2">
        <w:rPr>
          <w:rFonts w:asciiTheme="minorHAnsi" w:hAnsiTheme="minorHAnsi"/>
          <w:szCs w:val="22"/>
        </w:rPr>
        <w:t xml:space="preserve"> (</w:t>
      </w:r>
      <w:r w:rsidR="00C5153A">
        <w:rPr>
          <w:rFonts w:asciiTheme="minorHAnsi" w:hAnsiTheme="minorHAnsi"/>
          <w:szCs w:val="22"/>
        </w:rPr>
        <w:t>albeit</w:t>
      </w:r>
      <w:r w:rsidR="00645CD2">
        <w:rPr>
          <w:rFonts w:asciiTheme="minorHAnsi" w:hAnsiTheme="minorHAnsi"/>
          <w:szCs w:val="22"/>
        </w:rPr>
        <w:t xml:space="preserve"> intangible)</w:t>
      </w:r>
      <w:r w:rsidR="00AC1CEF">
        <w:rPr>
          <w:rFonts w:asciiTheme="minorHAnsi" w:hAnsiTheme="minorHAnsi"/>
          <w:szCs w:val="22"/>
        </w:rPr>
        <w:t xml:space="preserve"> public asset</w:t>
      </w:r>
      <w:r w:rsidR="00454CAF">
        <w:rPr>
          <w:rFonts w:asciiTheme="minorHAnsi" w:hAnsiTheme="minorHAnsi"/>
          <w:szCs w:val="22"/>
        </w:rPr>
        <w:t>s</w:t>
      </w:r>
      <w:r w:rsidR="00AC1CEF">
        <w:rPr>
          <w:rFonts w:asciiTheme="minorHAnsi" w:hAnsiTheme="minorHAnsi"/>
          <w:szCs w:val="22"/>
        </w:rPr>
        <w:t xml:space="preserve">. </w:t>
      </w:r>
      <w:r w:rsidR="00A237E6">
        <w:rPr>
          <w:rFonts w:asciiTheme="minorHAnsi" w:hAnsiTheme="minorHAnsi"/>
          <w:szCs w:val="22"/>
        </w:rPr>
        <w:t>Prime examples of high value regulatory infrastructure are the</w:t>
      </w:r>
      <w:r w:rsidR="00664B5C">
        <w:rPr>
          <w:rFonts w:asciiTheme="minorHAnsi" w:hAnsiTheme="minorHAnsi"/>
          <w:szCs w:val="22"/>
        </w:rPr>
        <w:t xml:space="preserve"> </w:t>
      </w:r>
      <w:r w:rsidR="00041146">
        <w:rPr>
          <w:rFonts w:asciiTheme="minorHAnsi" w:hAnsiTheme="minorHAnsi"/>
          <w:szCs w:val="22"/>
        </w:rPr>
        <w:t>bodies of rules</w:t>
      </w:r>
      <w:r w:rsidR="00505179">
        <w:rPr>
          <w:rFonts w:asciiTheme="minorHAnsi" w:hAnsiTheme="minorHAnsi"/>
          <w:szCs w:val="22"/>
        </w:rPr>
        <w:t xml:space="preserve"> supporting the </w:t>
      </w:r>
      <w:r w:rsidR="00664B5C">
        <w:rPr>
          <w:rFonts w:asciiTheme="minorHAnsi" w:hAnsiTheme="minorHAnsi"/>
          <w:szCs w:val="22"/>
        </w:rPr>
        <w:t xml:space="preserve">financial system, </w:t>
      </w:r>
      <w:r w:rsidR="00505179">
        <w:rPr>
          <w:rFonts w:asciiTheme="minorHAnsi" w:hAnsiTheme="minorHAnsi"/>
          <w:szCs w:val="22"/>
        </w:rPr>
        <w:t>tax collection</w:t>
      </w:r>
      <w:r w:rsidR="00664B5C">
        <w:rPr>
          <w:rFonts w:asciiTheme="minorHAnsi" w:hAnsiTheme="minorHAnsi"/>
          <w:szCs w:val="22"/>
        </w:rPr>
        <w:t>, competition</w:t>
      </w:r>
      <w:r w:rsidR="00A237E6">
        <w:rPr>
          <w:rFonts w:asciiTheme="minorHAnsi" w:hAnsiTheme="minorHAnsi"/>
          <w:szCs w:val="22"/>
        </w:rPr>
        <w:t>,</w:t>
      </w:r>
      <w:r w:rsidR="00664B5C">
        <w:rPr>
          <w:rFonts w:asciiTheme="minorHAnsi" w:hAnsiTheme="minorHAnsi"/>
          <w:szCs w:val="22"/>
        </w:rPr>
        <w:t xml:space="preserve"> consumer </w:t>
      </w:r>
      <w:r w:rsidR="00A237E6">
        <w:rPr>
          <w:rFonts w:asciiTheme="minorHAnsi" w:hAnsiTheme="minorHAnsi"/>
          <w:szCs w:val="22"/>
        </w:rPr>
        <w:t xml:space="preserve">protection </w:t>
      </w:r>
      <w:r w:rsidR="00664B5C">
        <w:rPr>
          <w:rFonts w:asciiTheme="minorHAnsi" w:hAnsiTheme="minorHAnsi"/>
          <w:szCs w:val="22"/>
        </w:rPr>
        <w:t>and</w:t>
      </w:r>
      <w:r w:rsidR="001932C7">
        <w:rPr>
          <w:rFonts w:asciiTheme="minorHAnsi" w:hAnsiTheme="minorHAnsi"/>
          <w:szCs w:val="22"/>
        </w:rPr>
        <w:t xml:space="preserve"> </w:t>
      </w:r>
      <w:r w:rsidR="00664B5C">
        <w:rPr>
          <w:rFonts w:asciiTheme="minorHAnsi" w:hAnsiTheme="minorHAnsi"/>
          <w:szCs w:val="22"/>
        </w:rPr>
        <w:t>corporat</w:t>
      </w:r>
      <w:r w:rsidR="00A237E6">
        <w:rPr>
          <w:rFonts w:asciiTheme="minorHAnsi" w:hAnsiTheme="minorHAnsi"/>
          <w:szCs w:val="22"/>
        </w:rPr>
        <w:t>e</w:t>
      </w:r>
      <w:r w:rsidR="00664B5C">
        <w:rPr>
          <w:rFonts w:asciiTheme="minorHAnsi" w:hAnsiTheme="minorHAnsi"/>
          <w:szCs w:val="22"/>
        </w:rPr>
        <w:t xml:space="preserve"> law</w:t>
      </w:r>
      <w:r w:rsidR="00A237E6">
        <w:rPr>
          <w:rFonts w:asciiTheme="minorHAnsi" w:hAnsiTheme="minorHAnsi"/>
          <w:szCs w:val="22"/>
        </w:rPr>
        <w:t>.</w:t>
      </w:r>
      <w:r w:rsidR="00664B5C">
        <w:rPr>
          <w:rFonts w:asciiTheme="minorHAnsi" w:hAnsiTheme="minorHAnsi"/>
          <w:szCs w:val="22"/>
        </w:rPr>
        <w:t xml:space="preserve">  </w:t>
      </w:r>
    </w:p>
    <w:p w:rsidR="00115F27" w:rsidRDefault="00664B5C" w:rsidP="00A237E6">
      <w:pPr>
        <w:spacing w:after="120" w:line="276" w:lineRule="auto"/>
        <w:rPr>
          <w:rFonts w:asciiTheme="minorHAnsi" w:hAnsiTheme="minorHAnsi"/>
          <w:szCs w:val="22"/>
        </w:rPr>
      </w:pPr>
      <w:r>
        <w:rPr>
          <w:rFonts w:asciiTheme="minorHAnsi" w:hAnsiTheme="minorHAnsi"/>
          <w:szCs w:val="22"/>
        </w:rPr>
        <w:t xml:space="preserve">It stands to reason that, having invested heavily in </w:t>
      </w:r>
      <w:r w:rsidR="00505179">
        <w:rPr>
          <w:rFonts w:asciiTheme="minorHAnsi" w:hAnsiTheme="minorHAnsi"/>
          <w:szCs w:val="22"/>
        </w:rPr>
        <w:t>establishing</w:t>
      </w:r>
      <w:r>
        <w:rPr>
          <w:rFonts w:asciiTheme="minorHAnsi" w:hAnsiTheme="minorHAnsi"/>
          <w:szCs w:val="22"/>
        </w:rPr>
        <w:t xml:space="preserve"> these </w:t>
      </w:r>
      <w:r w:rsidR="00213572">
        <w:rPr>
          <w:rFonts w:asciiTheme="minorHAnsi" w:hAnsiTheme="minorHAnsi"/>
          <w:szCs w:val="22"/>
        </w:rPr>
        <w:t xml:space="preserve">important </w:t>
      </w:r>
      <w:r>
        <w:rPr>
          <w:rFonts w:asciiTheme="minorHAnsi" w:hAnsiTheme="minorHAnsi"/>
          <w:szCs w:val="22"/>
        </w:rPr>
        <w:t xml:space="preserve">assets, </w:t>
      </w:r>
      <w:r w:rsidR="00AC1CEF">
        <w:rPr>
          <w:rFonts w:asciiTheme="minorHAnsi" w:hAnsiTheme="minorHAnsi"/>
          <w:szCs w:val="22"/>
        </w:rPr>
        <w:t>the nation</w:t>
      </w:r>
      <w:r>
        <w:rPr>
          <w:rFonts w:asciiTheme="minorHAnsi" w:hAnsiTheme="minorHAnsi"/>
          <w:szCs w:val="22"/>
        </w:rPr>
        <w:t xml:space="preserve"> should </w:t>
      </w:r>
      <w:r w:rsidR="00E80363">
        <w:rPr>
          <w:rFonts w:asciiTheme="minorHAnsi" w:hAnsiTheme="minorHAnsi"/>
          <w:szCs w:val="22"/>
        </w:rPr>
        <w:t xml:space="preserve">insist </w:t>
      </w:r>
      <w:r>
        <w:rPr>
          <w:rFonts w:asciiTheme="minorHAnsi" w:hAnsiTheme="minorHAnsi"/>
          <w:szCs w:val="22"/>
        </w:rPr>
        <w:t>that they are properly serviced and maintained</w:t>
      </w:r>
      <w:r w:rsidR="00213572">
        <w:rPr>
          <w:rFonts w:asciiTheme="minorHAnsi" w:hAnsiTheme="minorHAnsi"/>
          <w:szCs w:val="22"/>
        </w:rPr>
        <w:t>,</w:t>
      </w:r>
      <w:r w:rsidR="00F25E6B">
        <w:rPr>
          <w:rFonts w:asciiTheme="minorHAnsi" w:hAnsiTheme="minorHAnsi"/>
          <w:szCs w:val="22"/>
        </w:rPr>
        <w:t xml:space="preserve"> so as</w:t>
      </w:r>
      <w:r w:rsidR="00213572">
        <w:rPr>
          <w:rFonts w:asciiTheme="minorHAnsi" w:hAnsiTheme="minorHAnsi"/>
          <w:szCs w:val="22"/>
        </w:rPr>
        <w:t xml:space="preserve"> to stay in good running order</w:t>
      </w:r>
      <w:r>
        <w:rPr>
          <w:rFonts w:asciiTheme="minorHAnsi" w:hAnsiTheme="minorHAnsi"/>
          <w:szCs w:val="22"/>
        </w:rPr>
        <w:t>.</w:t>
      </w:r>
      <w:r w:rsidR="00D11CF9">
        <w:rPr>
          <w:rFonts w:asciiTheme="minorHAnsi" w:hAnsiTheme="minorHAnsi"/>
          <w:szCs w:val="22"/>
        </w:rPr>
        <w:t xml:space="preserve">  However</w:t>
      </w:r>
      <w:r w:rsidR="00AC1CEF">
        <w:rPr>
          <w:rFonts w:asciiTheme="minorHAnsi" w:hAnsiTheme="minorHAnsi"/>
          <w:szCs w:val="22"/>
        </w:rPr>
        <w:t>,</w:t>
      </w:r>
      <w:r w:rsidR="00D11CF9">
        <w:rPr>
          <w:rFonts w:asciiTheme="minorHAnsi" w:hAnsiTheme="minorHAnsi"/>
          <w:szCs w:val="22"/>
        </w:rPr>
        <w:t xml:space="preserve"> the day-to-day pressures on Governments </w:t>
      </w:r>
      <w:r w:rsidR="00AC1CEF">
        <w:rPr>
          <w:rFonts w:asciiTheme="minorHAnsi" w:hAnsiTheme="minorHAnsi"/>
          <w:szCs w:val="22"/>
        </w:rPr>
        <w:t xml:space="preserve">and Departments </w:t>
      </w:r>
      <w:r w:rsidR="00D11CF9">
        <w:rPr>
          <w:rFonts w:asciiTheme="minorHAnsi" w:hAnsiTheme="minorHAnsi"/>
          <w:szCs w:val="22"/>
        </w:rPr>
        <w:t xml:space="preserve">often mean that all </w:t>
      </w:r>
      <w:r w:rsidR="00505179">
        <w:rPr>
          <w:rFonts w:asciiTheme="minorHAnsi" w:hAnsiTheme="minorHAnsi"/>
          <w:szCs w:val="22"/>
        </w:rPr>
        <w:t xml:space="preserve">available </w:t>
      </w:r>
      <w:r w:rsidR="00D11CF9">
        <w:rPr>
          <w:rFonts w:asciiTheme="minorHAnsi" w:hAnsiTheme="minorHAnsi"/>
          <w:szCs w:val="22"/>
        </w:rPr>
        <w:t xml:space="preserve">resources are </w:t>
      </w:r>
      <w:r w:rsidR="00F25E6B">
        <w:rPr>
          <w:rFonts w:asciiTheme="minorHAnsi" w:hAnsiTheme="minorHAnsi"/>
          <w:szCs w:val="22"/>
        </w:rPr>
        <w:t xml:space="preserve">devoted </w:t>
      </w:r>
      <w:r w:rsidR="00D11CF9">
        <w:rPr>
          <w:rFonts w:asciiTheme="minorHAnsi" w:hAnsiTheme="minorHAnsi"/>
          <w:szCs w:val="22"/>
        </w:rPr>
        <w:t xml:space="preserve">to the </w:t>
      </w:r>
      <w:r w:rsidR="00F25E6B">
        <w:rPr>
          <w:rFonts w:asciiTheme="minorHAnsi" w:hAnsiTheme="minorHAnsi"/>
          <w:szCs w:val="22"/>
        </w:rPr>
        <w:t>immediate</w:t>
      </w:r>
      <w:r w:rsidR="00505179">
        <w:rPr>
          <w:rFonts w:asciiTheme="minorHAnsi" w:hAnsiTheme="minorHAnsi"/>
          <w:szCs w:val="22"/>
        </w:rPr>
        <w:t xml:space="preserve"> priorities</w:t>
      </w:r>
      <w:r w:rsidR="00D11CF9">
        <w:rPr>
          <w:rFonts w:asciiTheme="minorHAnsi" w:hAnsiTheme="minorHAnsi"/>
          <w:szCs w:val="22"/>
        </w:rPr>
        <w:t xml:space="preserve">, leaving essential maintenance </w:t>
      </w:r>
      <w:r w:rsidR="00041146">
        <w:rPr>
          <w:rFonts w:asciiTheme="minorHAnsi" w:hAnsiTheme="minorHAnsi"/>
          <w:szCs w:val="22"/>
        </w:rPr>
        <w:t xml:space="preserve">investment </w:t>
      </w:r>
      <w:r w:rsidR="00F25E6B">
        <w:rPr>
          <w:rFonts w:asciiTheme="minorHAnsi" w:hAnsiTheme="minorHAnsi"/>
          <w:szCs w:val="22"/>
        </w:rPr>
        <w:t>un</w:t>
      </w:r>
      <w:r w:rsidR="00D11CF9">
        <w:rPr>
          <w:rFonts w:asciiTheme="minorHAnsi" w:hAnsiTheme="minorHAnsi"/>
          <w:szCs w:val="22"/>
        </w:rPr>
        <w:t>done</w:t>
      </w:r>
      <w:r w:rsidR="00505179">
        <w:rPr>
          <w:rFonts w:asciiTheme="minorHAnsi" w:hAnsiTheme="minorHAnsi"/>
          <w:szCs w:val="22"/>
        </w:rPr>
        <w:t>,</w:t>
      </w:r>
      <w:r w:rsidR="00D11CF9">
        <w:rPr>
          <w:rFonts w:asciiTheme="minorHAnsi" w:hAnsiTheme="minorHAnsi"/>
          <w:szCs w:val="22"/>
        </w:rPr>
        <w:t xml:space="preserve"> until a crisis triggers a major </w:t>
      </w:r>
      <w:r w:rsidR="00AC1CEF">
        <w:rPr>
          <w:rFonts w:asciiTheme="minorHAnsi" w:hAnsiTheme="minorHAnsi"/>
          <w:szCs w:val="22"/>
        </w:rPr>
        <w:t>r</w:t>
      </w:r>
      <w:r w:rsidR="00D11CF9">
        <w:rPr>
          <w:rFonts w:asciiTheme="minorHAnsi" w:hAnsiTheme="minorHAnsi"/>
          <w:szCs w:val="22"/>
        </w:rPr>
        <w:t xml:space="preserve">eview. This </w:t>
      </w:r>
      <w:r w:rsidR="00F25E6B">
        <w:rPr>
          <w:rFonts w:asciiTheme="minorHAnsi" w:hAnsiTheme="minorHAnsi"/>
          <w:szCs w:val="22"/>
        </w:rPr>
        <w:t xml:space="preserve">approach of </w:t>
      </w:r>
      <w:r w:rsidR="00E80363">
        <w:rPr>
          <w:rFonts w:asciiTheme="minorHAnsi" w:hAnsiTheme="minorHAnsi"/>
          <w:szCs w:val="22"/>
        </w:rPr>
        <w:t>‘</w:t>
      </w:r>
      <w:r w:rsidR="00F25E6B">
        <w:rPr>
          <w:rFonts w:asciiTheme="minorHAnsi" w:hAnsiTheme="minorHAnsi"/>
          <w:szCs w:val="22"/>
        </w:rPr>
        <w:t>running until failure</w:t>
      </w:r>
      <w:r w:rsidR="00E80363">
        <w:rPr>
          <w:rFonts w:asciiTheme="minorHAnsi" w:hAnsiTheme="minorHAnsi"/>
          <w:szCs w:val="22"/>
        </w:rPr>
        <w:t>’</w:t>
      </w:r>
      <w:r w:rsidR="00F25E6B">
        <w:rPr>
          <w:rFonts w:asciiTheme="minorHAnsi" w:hAnsiTheme="minorHAnsi"/>
          <w:szCs w:val="22"/>
        </w:rPr>
        <w:t xml:space="preserve"> </w:t>
      </w:r>
      <w:r w:rsidR="00D11CF9">
        <w:rPr>
          <w:rFonts w:asciiTheme="minorHAnsi" w:hAnsiTheme="minorHAnsi"/>
          <w:szCs w:val="22"/>
        </w:rPr>
        <w:t xml:space="preserve">is </w:t>
      </w:r>
      <w:r w:rsidR="00F25E6B">
        <w:rPr>
          <w:rFonts w:asciiTheme="minorHAnsi" w:hAnsiTheme="minorHAnsi"/>
          <w:szCs w:val="22"/>
        </w:rPr>
        <w:t xml:space="preserve">costly </w:t>
      </w:r>
      <w:r w:rsidR="00D11CF9">
        <w:rPr>
          <w:rFonts w:asciiTheme="minorHAnsi" w:hAnsiTheme="minorHAnsi"/>
          <w:szCs w:val="22"/>
        </w:rPr>
        <w:t>and wasteful.</w:t>
      </w:r>
    </w:p>
    <w:p w:rsidR="00D11CF9" w:rsidRDefault="00D11CF9" w:rsidP="00F52F60">
      <w:pPr>
        <w:spacing w:after="120" w:line="276" w:lineRule="auto"/>
        <w:rPr>
          <w:rFonts w:asciiTheme="minorHAnsi" w:hAnsiTheme="minorHAnsi"/>
          <w:szCs w:val="22"/>
        </w:rPr>
      </w:pPr>
      <w:r>
        <w:rPr>
          <w:rFonts w:asciiTheme="minorHAnsi" w:hAnsiTheme="minorHAnsi"/>
          <w:szCs w:val="22"/>
        </w:rPr>
        <w:t xml:space="preserve">A better approach would be to ensure that </w:t>
      </w:r>
      <w:r w:rsidR="00505179">
        <w:rPr>
          <w:rFonts w:asciiTheme="minorHAnsi" w:hAnsiTheme="minorHAnsi"/>
          <w:szCs w:val="22"/>
        </w:rPr>
        <w:t xml:space="preserve">Departments </w:t>
      </w:r>
      <w:r w:rsidR="002F1255">
        <w:rPr>
          <w:rFonts w:asciiTheme="minorHAnsi" w:hAnsiTheme="minorHAnsi"/>
          <w:szCs w:val="22"/>
        </w:rPr>
        <w:t xml:space="preserve">and agencies </w:t>
      </w:r>
      <w:r w:rsidR="00F25E6B">
        <w:rPr>
          <w:rFonts w:asciiTheme="minorHAnsi" w:hAnsiTheme="minorHAnsi"/>
          <w:szCs w:val="22"/>
        </w:rPr>
        <w:t>invest</w:t>
      </w:r>
      <w:r w:rsidR="007670D3">
        <w:rPr>
          <w:rFonts w:asciiTheme="minorHAnsi" w:hAnsiTheme="minorHAnsi"/>
          <w:szCs w:val="22"/>
        </w:rPr>
        <w:t>ed</w:t>
      </w:r>
      <w:r w:rsidR="00505179">
        <w:rPr>
          <w:rFonts w:asciiTheme="minorHAnsi" w:hAnsiTheme="minorHAnsi"/>
          <w:szCs w:val="22"/>
        </w:rPr>
        <w:t xml:space="preserve"> appropriately </w:t>
      </w:r>
      <w:r w:rsidR="002F1255">
        <w:rPr>
          <w:rFonts w:asciiTheme="minorHAnsi" w:hAnsiTheme="minorHAnsi"/>
          <w:szCs w:val="22"/>
        </w:rPr>
        <w:t>to keep</w:t>
      </w:r>
      <w:r w:rsidR="00505179">
        <w:rPr>
          <w:rFonts w:asciiTheme="minorHAnsi" w:hAnsiTheme="minorHAnsi"/>
          <w:szCs w:val="22"/>
        </w:rPr>
        <w:t xml:space="preserve"> </w:t>
      </w:r>
      <w:r w:rsidR="007670D3">
        <w:rPr>
          <w:rFonts w:asciiTheme="minorHAnsi" w:hAnsiTheme="minorHAnsi"/>
          <w:szCs w:val="22"/>
        </w:rPr>
        <w:t>their</w:t>
      </w:r>
      <w:r w:rsidR="00505179">
        <w:rPr>
          <w:rFonts w:asciiTheme="minorHAnsi" w:hAnsiTheme="minorHAnsi"/>
          <w:szCs w:val="22"/>
        </w:rPr>
        <w:t xml:space="preserve"> </w:t>
      </w:r>
      <w:r w:rsidR="007670D3">
        <w:rPr>
          <w:rFonts w:asciiTheme="minorHAnsi" w:hAnsiTheme="minorHAnsi"/>
          <w:szCs w:val="22"/>
        </w:rPr>
        <w:t xml:space="preserve">stock of </w:t>
      </w:r>
      <w:r w:rsidR="00505179">
        <w:rPr>
          <w:rFonts w:asciiTheme="minorHAnsi" w:hAnsiTheme="minorHAnsi"/>
          <w:szCs w:val="22"/>
        </w:rPr>
        <w:t>regulatory assets</w:t>
      </w:r>
      <w:r w:rsidR="002F1255">
        <w:rPr>
          <w:rFonts w:asciiTheme="minorHAnsi" w:hAnsiTheme="minorHAnsi"/>
          <w:szCs w:val="22"/>
        </w:rPr>
        <w:t xml:space="preserve"> functioning well</w:t>
      </w:r>
      <w:r w:rsidR="007670D3">
        <w:rPr>
          <w:rFonts w:asciiTheme="minorHAnsi" w:hAnsiTheme="minorHAnsi"/>
          <w:szCs w:val="22"/>
        </w:rPr>
        <w:t>,</w:t>
      </w:r>
      <w:r w:rsidR="00505179">
        <w:rPr>
          <w:rFonts w:asciiTheme="minorHAnsi" w:hAnsiTheme="minorHAnsi"/>
          <w:szCs w:val="22"/>
        </w:rPr>
        <w:t xml:space="preserve"> at the same time as pursuing </w:t>
      </w:r>
      <w:r w:rsidR="00AC1CEF">
        <w:rPr>
          <w:rFonts w:asciiTheme="minorHAnsi" w:hAnsiTheme="minorHAnsi"/>
          <w:szCs w:val="22"/>
        </w:rPr>
        <w:t>the</w:t>
      </w:r>
      <w:r w:rsidR="00505179">
        <w:rPr>
          <w:rFonts w:asciiTheme="minorHAnsi" w:hAnsiTheme="minorHAnsi"/>
          <w:szCs w:val="22"/>
        </w:rPr>
        <w:t xml:space="preserve"> current Minister</w:t>
      </w:r>
      <w:r w:rsidR="00AC1CEF">
        <w:rPr>
          <w:rFonts w:asciiTheme="minorHAnsi" w:hAnsiTheme="minorHAnsi"/>
          <w:szCs w:val="22"/>
        </w:rPr>
        <w:t>’</w:t>
      </w:r>
      <w:r w:rsidR="00505179">
        <w:rPr>
          <w:rFonts w:asciiTheme="minorHAnsi" w:hAnsiTheme="minorHAnsi"/>
          <w:szCs w:val="22"/>
        </w:rPr>
        <w:t xml:space="preserve">s </w:t>
      </w:r>
      <w:r w:rsidR="00041146">
        <w:rPr>
          <w:rFonts w:asciiTheme="minorHAnsi" w:hAnsiTheme="minorHAnsi"/>
          <w:szCs w:val="22"/>
        </w:rPr>
        <w:t>policy</w:t>
      </w:r>
      <w:r w:rsidR="00B70020">
        <w:rPr>
          <w:rFonts w:asciiTheme="minorHAnsi" w:hAnsiTheme="minorHAnsi"/>
          <w:szCs w:val="22"/>
        </w:rPr>
        <w:t xml:space="preserve"> </w:t>
      </w:r>
      <w:r w:rsidR="00505179">
        <w:rPr>
          <w:rFonts w:asciiTheme="minorHAnsi" w:hAnsiTheme="minorHAnsi"/>
          <w:szCs w:val="22"/>
        </w:rPr>
        <w:t>agenda. In an environment of constrained resources</w:t>
      </w:r>
      <w:r w:rsidR="00B70020">
        <w:rPr>
          <w:rFonts w:asciiTheme="minorHAnsi" w:hAnsiTheme="minorHAnsi"/>
          <w:szCs w:val="22"/>
        </w:rPr>
        <w:t xml:space="preserve"> </w:t>
      </w:r>
      <w:r w:rsidR="00505179">
        <w:rPr>
          <w:rFonts w:asciiTheme="minorHAnsi" w:hAnsiTheme="minorHAnsi"/>
          <w:szCs w:val="22"/>
        </w:rPr>
        <w:t xml:space="preserve">this </w:t>
      </w:r>
      <w:r w:rsidR="00E80363">
        <w:rPr>
          <w:rFonts w:asciiTheme="minorHAnsi" w:hAnsiTheme="minorHAnsi"/>
          <w:szCs w:val="22"/>
        </w:rPr>
        <w:t xml:space="preserve">aspiration </w:t>
      </w:r>
      <w:r w:rsidR="00505179">
        <w:rPr>
          <w:rFonts w:asciiTheme="minorHAnsi" w:hAnsiTheme="minorHAnsi"/>
          <w:szCs w:val="22"/>
        </w:rPr>
        <w:t>presents a</w:t>
      </w:r>
      <w:r w:rsidR="00213572">
        <w:rPr>
          <w:rFonts w:asciiTheme="minorHAnsi" w:hAnsiTheme="minorHAnsi"/>
          <w:szCs w:val="22"/>
        </w:rPr>
        <w:t xml:space="preserve"> </w:t>
      </w:r>
      <w:r w:rsidR="00505179">
        <w:rPr>
          <w:rFonts w:asciiTheme="minorHAnsi" w:hAnsiTheme="minorHAnsi"/>
          <w:szCs w:val="22"/>
        </w:rPr>
        <w:t xml:space="preserve">challenge of leadership and will. </w:t>
      </w:r>
      <w:r w:rsidR="00B70020">
        <w:rPr>
          <w:rFonts w:asciiTheme="minorHAnsi" w:hAnsiTheme="minorHAnsi"/>
          <w:szCs w:val="22"/>
        </w:rPr>
        <w:t>To shore up</w:t>
      </w:r>
      <w:r w:rsidR="00A43225">
        <w:rPr>
          <w:rFonts w:asciiTheme="minorHAnsi" w:hAnsiTheme="minorHAnsi"/>
          <w:szCs w:val="22"/>
        </w:rPr>
        <w:t xml:space="preserve"> the commitment of agency heads </w:t>
      </w:r>
      <w:r w:rsidR="00B70020">
        <w:rPr>
          <w:rFonts w:asciiTheme="minorHAnsi" w:hAnsiTheme="minorHAnsi"/>
          <w:szCs w:val="22"/>
        </w:rPr>
        <w:t xml:space="preserve">who </w:t>
      </w:r>
      <w:r w:rsidR="00A43225">
        <w:rPr>
          <w:rFonts w:asciiTheme="minorHAnsi" w:hAnsiTheme="minorHAnsi"/>
          <w:szCs w:val="22"/>
        </w:rPr>
        <w:t xml:space="preserve">may be tempted to focus purely on short term deliverables, </w:t>
      </w:r>
      <w:r w:rsidR="00B70020">
        <w:rPr>
          <w:rFonts w:asciiTheme="minorHAnsi" w:hAnsiTheme="minorHAnsi"/>
          <w:szCs w:val="22"/>
        </w:rPr>
        <w:t xml:space="preserve">Australia </w:t>
      </w:r>
      <w:r w:rsidR="00A4725F">
        <w:rPr>
          <w:rFonts w:asciiTheme="minorHAnsi" w:hAnsiTheme="minorHAnsi"/>
          <w:szCs w:val="22"/>
        </w:rPr>
        <w:t xml:space="preserve">should </w:t>
      </w:r>
      <w:r w:rsidR="00B70020">
        <w:rPr>
          <w:rFonts w:asciiTheme="minorHAnsi" w:hAnsiTheme="minorHAnsi"/>
          <w:szCs w:val="22"/>
        </w:rPr>
        <w:t xml:space="preserve">introduce </w:t>
      </w:r>
      <w:r w:rsidR="00A43225">
        <w:rPr>
          <w:rFonts w:asciiTheme="minorHAnsi" w:hAnsiTheme="minorHAnsi"/>
          <w:szCs w:val="22"/>
        </w:rPr>
        <w:t xml:space="preserve">a statutory responsibility for regulatory stewardship </w:t>
      </w:r>
      <w:r w:rsidR="00B70020">
        <w:rPr>
          <w:rFonts w:asciiTheme="minorHAnsi" w:hAnsiTheme="minorHAnsi"/>
          <w:szCs w:val="22"/>
        </w:rPr>
        <w:t xml:space="preserve">similar to that </w:t>
      </w:r>
      <w:r w:rsidR="00A43225">
        <w:rPr>
          <w:rFonts w:asciiTheme="minorHAnsi" w:hAnsiTheme="minorHAnsi"/>
          <w:szCs w:val="22"/>
        </w:rPr>
        <w:t>appl</w:t>
      </w:r>
      <w:r w:rsidR="007670D3">
        <w:rPr>
          <w:rFonts w:asciiTheme="minorHAnsi" w:hAnsiTheme="minorHAnsi"/>
          <w:szCs w:val="22"/>
        </w:rPr>
        <w:t>ying</w:t>
      </w:r>
      <w:r w:rsidR="00A43225">
        <w:rPr>
          <w:rFonts w:asciiTheme="minorHAnsi" w:hAnsiTheme="minorHAnsi"/>
          <w:szCs w:val="22"/>
        </w:rPr>
        <w:t xml:space="preserve"> in New Zealand.</w:t>
      </w:r>
      <w:r w:rsidR="00B70020">
        <w:rPr>
          <w:rFonts w:asciiTheme="minorHAnsi" w:hAnsiTheme="minorHAnsi"/>
          <w:szCs w:val="22"/>
        </w:rPr>
        <w:t xml:space="preserve"> </w:t>
      </w:r>
      <w:r w:rsidR="00A4725F">
        <w:rPr>
          <w:rFonts w:asciiTheme="minorHAnsi" w:hAnsiTheme="minorHAnsi"/>
          <w:szCs w:val="22"/>
        </w:rPr>
        <w:t xml:space="preserve">We </w:t>
      </w:r>
      <w:r w:rsidR="00B70020">
        <w:rPr>
          <w:rFonts w:asciiTheme="minorHAnsi" w:hAnsiTheme="minorHAnsi"/>
          <w:szCs w:val="22"/>
        </w:rPr>
        <w:t xml:space="preserve">attach a short paper </w:t>
      </w:r>
      <w:r w:rsidR="007670D3">
        <w:rPr>
          <w:rFonts w:asciiTheme="minorHAnsi" w:hAnsiTheme="minorHAnsi"/>
          <w:szCs w:val="22"/>
        </w:rPr>
        <w:t xml:space="preserve">on this theme </w:t>
      </w:r>
      <w:r w:rsidR="00B70020">
        <w:rPr>
          <w:rFonts w:asciiTheme="minorHAnsi" w:hAnsiTheme="minorHAnsi"/>
          <w:szCs w:val="22"/>
        </w:rPr>
        <w:t>for you</w:t>
      </w:r>
      <w:r w:rsidR="007670D3">
        <w:rPr>
          <w:rFonts w:asciiTheme="minorHAnsi" w:hAnsiTheme="minorHAnsi"/>
          <w:szCs w:val="22"/>
        </w:rPr>
        <w:t>r</w:t>
      </w:r>
      <w:r w:rsidR="00B70020">
        <w:rPr>
          <w:rFonts w:asciiTheme="minorHAnsi" w:hAnsiTheme="minorHAnsi"/>
          <w:szCs w:val="22"/>
        </w:rPr>
        <w:t xml:space="preserve"> consider</w:t>
      </w:r>
      <w:r w:rsidR="007670D3">
        <w:rPr>
          <w:rFonts w:asciiTheme="minorHAnsi" w:hAnsiTheme="minorHAnsi"/>
          <w:szCs w:val="22"/>
        </w:rPr>
        <w:t>ation</w:t>
      </w:r>
      <w:r w:rsidR="00B70020">
        <w:rPr>
          <w:rFonts w:asciiTheme="minorHAnsi" w:hAnsiTheme="minorHAnsi"/>
          <w:szCs w:val="22"/>
        </w:rPr>
        <w:t>.</w:t>
      </w:r>
    </w:p>
    <w:p w:rsidR="006621AB" w:rsidRDefault="006621AB" w:rsidP="006621AB"/>
    <w:p w:rsidR="00115F27" w:rsidRDefault="00115F27" w:rsidP="000E4D0D">
      <w:pPr>
        <w:spacing w:after="960"/>
      </w:pPr>
      <w:r>
        <w:t>Yours sincerely</w:t>
      </w:r>
    </w:p>
    <w:p w:rsidR="00115F27" w:rsidRDefault="00115F27" w:rsidP="00115F27">
      <w:r>
        <w:t>Paul McCullough</w:t>
      </w:r>
      <w:r w:rsidR="00A4725F">
        <w:tab/>
      </w:r>
      <w:r w:rsidR="00A4725F">
        <w:tab/>
      </w:r>
      <w:r w:rsidR="00A4725F">
        <w:tab/>
      </w:r>
      <w:r w:rsidR="00A4725F">
        <w:tab/>
      </w:r>
      <w:r w:rsidR="00A4725F">
        <w:tab/>
      </w:r>
      <w:r w:rsidR="00A4725F">
        <w:tab/>
        <w:t>Tom Reid</w:t>
      </w:r>
      <w:r>
        <w:br/>
        <w:t>First Assistant Secretary</w:t>
      </w:r>
      <w:r w:rsidR="00A4725F">
        <w:tab/>
      </w:r>
      <w:r w:rsidR="00A4725F">
        <w:tab/>
      </w:r>
      <w:r w:rsidR="00A4725F">
        <w:tab/>
      </w:r>
      <w:r w:rsidR="00A4725F">
        <w:tab/>
      </w:r>
      <w:r w:rsidR="00A4725F">
        <w:tab/>
        <w:t>Chief Advisor</w:t>
      </w:r>
      <w:r>
        <w:br/>
        <w:t>The Treasury</w:t>
      </w:r>
      <w:r w:rsidR="00A4725F">
        <w:tab/>
      </w:r>
      <w:r w:rsidR="00A4725F">
        <w:tab/>
      </w:r>
      <w:r w:rsidR="00A4725F">
        <w:tab/>
      </w:r>
      <w:r w:rsidR="00A4725F">
        <w:tab/>
      </w:r>
      <w:r w:rsidR="00A4725F">
        <w:tab/>
      </w:r>
      <w:r w:rsidR="00A4725F">
        <w:tab/>
        <w:t>The Treasury</w:t>
      </w:r>
    </w:p>
    <w:p w:rsidR="00115F27" w:rsidRDefault="005A2B0A" w:rsidP="00A43225">
      <w:pPr>
        <w:ind w:firstLine="3"/>
        <w:rPr>
          <w:rFonts w:asciiTheme="minorHAnsi" w:hAnsiTheme="minorHAnsi"/>
          <w:szCs w:val="22"/>
        </w:rPr>
      </w:pPr>
      <w:r>
        <w:t>ph:</w:t>
      </w:r>
      <w:r>
        <w:tab/>
      </w:r>
      <w:r w:rsidRPr="005A2B0A">
        <w:t>02 6263 3820</w:t>
      </w:r>
      <w:r w:rsidR="00A4725F">
        <w:tab/>
      </w:r>
      <w:r w:rsidR="00A4725F">
        <w:tab/>
      </w:r>
      <w:r w:rsidR="00A4725F">
        <w:tab/>
      </w:r>
      <w:r w:rsidR="00A4725F">
        <w:tab/>
      </w:r>
      <w:r w:rsidR="00A4725F">
        <w:tab/>
        <w:t>ph:</w:t>
      </w:r>
      <w:r w:rsidR="00A4725F">
        <w:tab/>
        <w:t>02 6263 3021</w:t>
      </w:r>
      <w:r>
        <w:br/>
        <w:t>mob:  0412 630 782</w:t>
      </w:r>
      <w:r w:rsidR="00A4725F">
        <w:tab/>
      </w:r>
      <w:r w:rsidR="00A4725F">
        <w:tab/>
      </w:r>
      <w:r w:rsidR="00A4725F">
        <w:tab/>
      </w:r>
      <w:r w:rsidR="00A4725F">
        <w:tab/>
      </w:r>
      <w:r w:rsidR="00A4725F">
        <w:tab/>
        <w:t>mob:</w:t>
      </w:r>
      <w:r w:rsidR="00A4725F">
        <w:tab/>
      </w:r>
      <w:r w:rsidR="006744A1">
        <w:t>0414 616 390</w:t>
      </w:r>
      <w:r>
        <w:br/>
      </w:r>
      <w:hyperlink r:id="rId14" w:history="1">
        <w:r w:rsidRPr="005A2B0A">
          <w:rPr>
            <w:rStyle w:val="Hyperlink"/>
          </w:rPr>
          <w:t>paul.mccullough@treasury.gov.au</w:t>
        </w:r>
      </w:hyperlink>
      <w:r w:rsidR="00A4725F">
        <w:tab/>
      </w:r>
      <w:r w:rsidR="00A4725F">
        <w:tab/>
      </w:r>
      <w:r w:rsidR="00A4725F">
        <w:tab/>
      </w:r>
      <w:hyperlink r:id="rId15" w:history="1">
        <w:r w:rsidR="00A4725F" w:rsidRPr="00136BC6">
          <w:rPr>
            <w:rStyle w:val="Hyperlink"/>
          </w:rPr>
          <w:t>tom.reid@treasury.gov.au</w:t>
        </w:r>
      </w:hyperlink>
      <w:r w:rsidR="00A4725F">
        <w:t xml:space="preserve"> </w:t>
      </w:r>
      <w:r w:rsidR="00115F27">
        <w:rPr>
          <w:rFonts w:asciiTheme="minorHAnsi" w:hAnsiTheme="minorHAnsi"/>
          <w:szCs w:val="22"/>
        </w:rPr>
        <w:br w:type="page"/>
      </w:r>
    </w:p>
    <w:p w:rsidR="00505179" w:rsidRDefault="00A43225" w:rsidP="00505179">
      <w:pPr>
        <w:pStyle w:val="Heading2"/>
      </w:pPr>
      <w:r>
        <w:lastRenderedPageBreak/>
        <w:t xml:space="preserve">the importance of </w:t>
      </w:r>
      <w:r w:rsidR="00505179">
        <w:t>investment in regulation</w:t>
      </w:r>
    </w:p>
    <w:p w:rsidR="00F52F60" w:rsidRPr="009944E9" w:rsidRDefault="00F52F60" w:rsidP="00F52F60">
      <w:pPr>
        <w:spacing w:after="120" w:line="276" w:lineRule="auto"/>
        <w:rPr>
          <w:rFonts w:asciiTheme="minorHAnsi" w:hAnsiTheme="minorHAnsi"/>
          <w:szCs w:val="22"/>
        </w:rPr>
      </w:pPr>
      <w:r w:rsidRPr="009944E9">
        <w:rPr>
          <w:rFonts w:asciiTheme="minorHAnsi" w:hAnsiTheme="minorHAnsi"/>
          <w:szCs w:val="22"/>
        </w:rPr>
        <w:t xml:space="preserve">Poorly </w:t>
      </w:r>
      <w:r w:rsidR="000E550D">
        <w:rPr>
          <w:rFonts w:asciiTheme="minorHAnsi" w:hAnsiTheme="minorHAnsi"/>
          <w:szCs w:val="22"/>
        </w:rPr>
        <w:t xml:space="preserve">functioning </w:t>
      </w:r>
      <w:r w:rsidRPr="009944E9">
        <w:rPr>
          <w:rFonts w:asciiTheme="minorHAnsi" w:hAnsiTheme="minorHAnsi"/>
          <w:szCs w:val="22"/>
        </w:rPr>
        <w:t>regulatory frameworks impose unnecessary costs that reduce productivity.</w:t>
      </w:r>
      <w:r w:rsidR="00156D02">
        <w:rPr>
          <w:rStyle w:val="FootnoteReference"/>
          <w:rFonts w:asciiTheme="minorHAnsi" w:hAnsiTheme="minorHAnsi"/>
          <w:szCs w:val="22"/>
        </w:rPr>
        <w:footnoteReference w:id="2"/>
      </w:r>
      <w:r w:rsidRPr="009944E9">
        <w:rPr>
          <w:rFonts w:asciiTheme="minorHAnsi" w:hAnsiTheme="minorHAnsi"/>
          <w:szCs w:val="22"/>
        </w:rPr>
        <w:t xml:space="preserve"> These costs inevitably flow through to the community </w:t>
      </w:r>
      <w:r w:rsidR="00664B5C" w:rsidRPr="009944E9">
        <w:rPr>
          <w:rFonts w:asciiTheme="minorHAnsi" w:hAnsiTheme="minorHAnsi"/>
          <w:szCs w:val="22"/>
        </w:rPr>
        <w:t>more widely</w:t>
      </w:r>
      <w:r w:rsidR="006178DD">
        <w:rPr>
          <w:rFonts w:asciiTheme="minorHAnsi" w:hAnsiTheme="minorHAnsi"/>
          <w:szCs w:val="22"/>
        </w:rPr>
        <w:t>,</w:t>
      </w:r>
      <w:r w:rsidR="00664B5C" w:rsidRPr="009944E9">
        <w:rPr>
          <w:rFonts w:asciiTheme="minorHAnsi" w:hAnsiTheme="minorHAnsi"/>
          <w:szCs w:val="22"/>
        </w:rPr>
        <w:t xml:space="preserve"> </w:t>
      </w:r>
      <w:r w:rsidRPr="009944E9">
        <w:rPr>
          <w:rFonts w:asciiTheme="minorHAnsi" w:hAnsiTheme="minorHAnsi"/>
          <w:szCs w:val="22"/>
        </w:rPr>
        <w:t xml:space="preserve">even </w:t>
      </w:r>
      <w:r w:rsidR="006178DD">
        <w:rPr>
          <w:rFonts w:asciiTheme="minorHAnsi" w:hAnsiTheme="minorHAnsi"/>
          <w:szCs w:val="22"/>
        </w:rPr>
        <w:t>when</w:t>
      </w:r>
      <w:r w:rsidR="006178DD" w:rsidRPr="009944E9">
        <w:rPr>
          <w:rFonts w:asciiTheme="minorHAnsi" w:hAnsiTheme="minorHAnsi"/>
          <w:szCs w:val="22"/>
        </w:rPr>
        <w:t xml:space="preserve"> </w:t>
      </w:r>
      <w:r w:rsidRPr="009944E9">
        <w:rPr>
          <w:rFonts w:asciiTheme="minorHAnsi" w:hAnsiTheme="minorHAnsi"/>
          <w:szCs w:val="22"/>
        </w:rPr>
        <w:t xml:space="preserve">their initial impact is on a </w:t>
      </w:r>
      <w:r w:rsidR="006178DD">
        <w:rPr>
          <w:rFonts w:asciiTheme="minorHAnsi" w:hAnsiTheme="minorHAnsi"/>
          <w:szCs w:val="22"/>
        </w:rPr>
        <w:t>single</w:t>
      </w:r>
      <w:r w:rsidR="006178DD" w:rsidRPr="009944E9">
        <w:rPr>
          <w:rFonts w:asciiTheme="minorHAnsi" w:hAnsiTheme="minorHAnsi"/>
          <w:szCs w:val="22"/>
        </w:rPr>
        <w:t xml:space="preserve"> </w:t>
      </w:r>
      <w:r w:rsidRPr="009944E9">
        <w:rPr>
          <w:rFonts w:asciiTheme="minorHAnsi" w:hAnsiTheme="minorHAnsi"/>
          <w:szCs w:val="22"/>
        </w:rPr>
        <w:t xml:space="preserve">business. </w:t>
      </w:r>
      <w:r w:rsidR="00664B5C">
        <w:rPr>
          <w:rFonts w:asciiTheme="minorHAnsi" w:hAnsiTheme="minorHAnsi"/>
          <w:szCs w:val="22"/>
        </w:rPr>
        <w:t>Unnecessary</w:t>
      </w:r>
      <w:r w:rsidR="00664B5C" w:rsidRPr="009944E9">
        <w:rPr>
          <w:rFonts w:asciiTheme="minorHAnsi" w:hAnsiTheme="minorHAnsi"/>
          <w:szCs w:val="22"/>
        </w:rPr>
        <w:t xml:space="preserve"> </w:t>
      </w:r>
      <w:r w:rsidRPr="009944E9">
        <w:rPr>
          <w:rFonts w:asciiTheme="minorHAnsi" w:hAnsiTheme="minorHAnsi"/>
          <w:szCs w:val="22"/>
        </w:rPr>
        <w:t xml:space="preserve">costs </w:t>
      </w:r>
      <w:r w:rsidR="00A43225">
        <w:rPr>
          <w:rFonts w:asciiTheme="minorHAnsi" w:hAnsiTheme="minorHAnsi"/>
          <w:szCs w:val="22"/>
        </w:rPr>
        <w:t>reduce</w:t>
      </w:r>
      <w:r w:rsidR="00664B5C">
        <w:rPr>
          <w:rFonts w:asciiTheme="minorHAnsi" w:hAnsiTheme="minorHAnsi"/>
          <w:szCs w:val="22"/>
        </w:rPr>
        <w:t xml:space="preserve"> the national income and </w:t>
      </w:r>
      <w:r w:rsidR="00A43225">
        <w:rPr>
          <w:rFonts w:asciiTheme="minorHAnsi" w:hAnsiTheme="minorHAnsi"/>
          <w:szCs w:val="22"/>
        </w:rPr>
        <w:t>detract from</w:t>
      </w:r>
      <w:r w:rsidRPr="009944E9">
        <w:rPr>
          <w:rFonts w:asciiTheme="minorHAnsi" w:hAnsiTheme="minorHAnsi"/>
          <w:szCs w:val="22"/>
        </w:rPr>
        <w:t xml:space="preserve"> the viability of domestic businesses, especially </w:t>
      </w:r>
      <w:r w:rsidR="006178DD">
        <w:rPr>
          <w:rFonts w:asciiTheme="minorHAnsi" w:hAnsiTheme="minorHAnsi"/>
          <w:szCs w:val="22"/>
        </w:rPr>
        <w:t>when they are</w:t>
      </w:r>
      <w:r w:rsidR="006178DD" w:rsidRPr="009944E9">
        <w:rPr>
          <w:rFonts w:asciiTheme="minorHAnsi" w:hAnsiTheme="minorHAnsi"/>
          <w:szCs w:val="22"/>
        </w:rPr>
        <w:t xml:space="preserve"> </w:t>
      </w:r>
      <w:r w:rsidRPr="009944E9">
        <w:rPr>
          <w:rFonts w:asciiTheme="minorHAnsi" w:hAnsiTheme="minorHAnsi"/>
          <w:szCs w:val="22"/>
        </w:rPr>
        <w:t xml:space="preserve">exposed to overseas competition. </w:t>
      </w:r>
      <w:r w:rsidR="004211E8">
        <w:rPr>
          <w:rFonts w:asciiTheme="minorHAnsi" w:hAnsiTheme="minorHAnsi"/>
          <w:szCs w:val="22"/>
        </w:rPr>
        <w:t>Well-functioning</w:t>
      </w:r>
      <w:r w:rsidR="009851AB">
        <w:rPr>
          <w:rFonts w:asciiTheme="minorHAnsi" w:hAnsiTheme="minorHAnsi"/>
          <w:szCs w:val="22"/>
        </w:rPr>
        <w:t xml:space="preserve"> regulatory frameworks provide markets with the catalyst to flourish and businesses </w:t>
      </w:r>
      <w:r w:rsidR="00C04075">
        <w:rPr>
          <w:rFonts w:asciiTheme="minorHAnsi" w:hAnsiTheme="minorHAnsi"/>
          <w:szCs w:val="22"/>
        </w:rPr>
        <w:t xml:space="preserve">with </w:t>
      </w:r>
      <w:r w:rsidR="009851AB">
        <w:rPr>
          <w:rFonts w:asciiTheme="minorHAnsi" w:hAnsiTheme="minorHAnsi"/>
          <w:szCs w:val="22"/>
        </w:rPr>
        <w:t xml:space="preserve">the confidence to invest. </w:t>
      </w:r>
    </w:p>
    <w:p w:rsidR="000E550D" w:rsidRDefault="000E550D" w:rsidP="00F52F60">
      <w:pPr>
        <w:spacing w:after="120" w:line="276" w:lineRule="auto"/>
        <w:rPr>
          <w:rFonts w:asciiTheme="minorHAnsi" w:hAnsiTheme="minorHAnsi"/>
          <w:szCs w:val="22"/>
        </w:rPr>
      </w:pPr>
      <w:r>
        <w:rPr>
          <w:rFonts w:asciiTheme="minorHAnsi" w:hAnsiTheme="minorHAnsi"/>
          <w:szCs w:val="22"/>
        </w:rPr>
        <w:t xml:space="preserve">In the past it has been convenient </w:t>
      </w:r>
      <w:r w:rsidR="00142D01">
        <w:rPr>
          <w:rFonts w:asciiTheme="minorHAnsi" w:hAnsiTheme="minorHAnsi"/>
          <w:szCs w:val="22"/>
        </w:rPr>
        <w:t xml:space="preserve">for advocates of </w:t>
      </w:r>
      <w:r w:rsidR="00E627CC">
        <w:rPr>
          <w:rFonts w:asciiTheme="minorHAnsi" w:hAnsiTheme="minorHAnsi"/>
          <w:szCs w:val="22"/>
        </w:rPr>
        <w:t>regulatory</w:t>
      </w:r>
      <w:r w:rsidR="00142D01">
        <w:rPr>
          <w:rFonts w:asciiTheme="minorHAnsi" w:hAnsiTheme="minorHAnsi"/>
          <w:szCs w:val="22"/>
        </w:rPr>
        <w:t xml:space="preserve"> proposals </w:t>
      </w:r>
      <w:r>
        <w:rPr>
          <w:rFonts w:asciiTheme="minorHAnsi" w:hAnsiTheme="minorHAnsi"/>
          <w:szCs w:val="22"/>
        </w:rPr>
        <w:t xml:space="preserve">to downplay the </w:t>
      </w:r>
      <w:r w:rsidR="00E627CC">
        <w:rPr>
          <w:rFonts w:asciiTheme="minorHAnsi" w:hAnsiTheme="minorHAnsi"/>
          <w:szCs w:val="22"/>
        </w:rPr>
        <w:t xml:space="preserve">burden </w:t>
      </w:r>
      <w:r>
        <w:rPr>
          <w:rFonts w:asciiTheme="minorHAnsi" w:hAnsiTheme="minorHAnsi"/>
          <w:szCs w:val="22"/>
        </w:rPr>
        <w:t xml:space="preserve">of </w:t>
      </w:r>
      <w:r w:rsidR="00E627CC">
        <w:rPr>
          <w:rFonts w:asciiTheme="minorHAnsi" w:hAnsiTheme="minorHAnsi"/>
          <w:szCs w:val="22"/>
        </w:rPr>
        <w:t xml:space="preserve">the additional </w:t>
      </w:r>
      <w:r>
        <w:rPr>
          <w:rFonts w:asciiTheme="minorHAnsi" w:hAnsiTheme="minorHAnsi"/>
          <w:szCs w:val="22"/>
        </w:rPr>
        <w:t>regulat</w:t>
      </w:r>
      <w:r w:rsidR="00E627CC">
        <w:rPr>
          <w:rFonts w:asciiTheme="minorHAnsi" w:hAnsiTheme="minorHAnsi"/>
          <w:szCs w:val="22"/>
        </w:rPr>
        <w:t>ion</w:t>
      </w:r>
      <w:r>
        <w:rPr>
          <w:rFonts w:asciiTheme="minorHAnsi" w:hAnsiTheme="minorHAnsi"/>
          <w:szCs w:val="22"/>
        </w:rPr>
        <w:t xml:space="preserve"> </w:t>
      </w:r>
      <w:r w:rsidR="00142D01">
        <w:rPr>
          <w:rFonts w:asciiTheme="minorHAnsi" w:hAnsiTheme="minorHAnsi"/>
          <w:szCs w:val="22"/>
        </w:rPr>
        <w:t xml:space="preserve">by </w:t>
      </w:r>
      <w:r>
        <w:rPr>
          <w:rFonts w:asciiTheme="minorHAnsi" w:hAnsiTheme="minorHAnsi"/>
          <w:szCs w:val="22"/>
        </w:rPr>
        <w:t xml:space="preserve">either </w:t>
      </w:r>
      <w:r w:rsidR="00142D01">
        <w:rPr>
          <w:rFonts w:asciiTheme="minorHAnsi" w:hAnsiTheme="minorHAnsi"/>
          <w:szCs w:val="22"/>
        </w:rPr>
        <w:t xml:space="preserve">pointing to </w:t>
      </w:r>
      <w:r w:rsidR="00A43225">
        <w:rPr>
          <w:rFonts w:asciiTheme="minorHAnsi" w:hAnsiTheme="minorHAnsi"/>
          <w:szCs w:val="22"/>
        </w:rPr>
        <w:t xml:space="preserve">the </w:t>
      </w:r>
      <w:r>
        <w:rPr>
          <w:rFonts w:asciiTheme="minorHAnsi" w:hAnsiTheme="minorHAnsi"/>
          <w:szCs w:val="22"/>
        </w:rPr>
        <w:t>overwhelming net benefit of imposing the particular regulation they sought, or dismiss</w:t>
      </w:r>
      <w:r w:rsidR="00142D01">
        <w:rPr>
          <w:rFonts w:asciiTheme="minorHAnsi" w:hAnsiTheme="minorHAnsi"/>
          <w:szCs w:val="22"/>
        </w:rPr>
        <w:t>ing</w:t>
      </w:r>
      <w:r>
        <w:rPr>
          <w:rFonts w:asciiTheme="minorHAnsi" w:hAnsiTheme="minorHAnsi"/>
          <w:szCs w:val="22"/>
        </w:rPr>
        <w:t xml:space="preserve"> the </w:t>
      </w:r>
      <w:r w:rsidR="00142D01">
        <w:rPr>
          <w:rFonts w:asciiTheme="minorHAnsi" w:hAnsiTheme="minorHAnsi"/>
          <w:szCs w:val="22"/>
        </w:rPr>
        <w:t xml:space="preserve">additional </w:t>
      </w:r>
      <w:r>
        <w:rPr>
          <w:rFonts w:asciiTheme="minorHAnsi" w:hAnsiTheme="minorHAnsi"/>
          <w:szCs w:val="22"/>
        </w:rPr>
        <w:t xml:space="preserve">cost of </w:t>
      </w:r>
      <w:r w:rsidR="00142D01">
        <w:rPr>
          <w:rFonts w:asciiTheme="minorHAnsi" w:hAnsiTheme="minorHAnsi"/>
          <w:szCs w:val="22"/>
        </w:rPr>
        <w:t xml:space="preserve">further </w:t>
      </w:r>
      <w:r>
        <w:rPr>
          <w:rFonts w:asciiTheme="minorHAnsi" w:hAnsiTheme="minorHAnsi"/>
          <w:szCs w:val="22"/>
        </w:rPr>
        <w:t>regulation as ‘second order’.  However, i</w:t>
      </w:r>
      <w:r w:rsidR="002E2A7F">
        <w:rPr>
          <w:rFonts w:asciiTheme="minorHAnsi" w:hAnsiTheme="minorHAnsi"/>
          <w:szCs w:val="22"/>
        </w:rPr>
        <w:t>n</w:t>
      </w:r>
      <w:r>
        <w:rPr>
          <w:rFonts w:asciiTheme="minorHAnsi" w:hAnsiTheme="minorHAnsi"/>
          <w:szCs w:val="22"/>
        </w:rPr>
        <w:t xml:space="preserve"> recent years</w:t>
      </w:r>
      <w:r w:rsidR="00772A91">
        <w:rPr>
          <w:rFonts w:asciiTheme="minorHAnsi" w:hAnsiTheme="minorHAnsi"/>
          <w:szCs w:val="22"/>
        </w:rPr>
        <w:t>,</w:t>
      </w:r>
      <w:r>
        <w:rPr>
          <w:rFonts w:asciiTheme="minorHAnsi" w:hAnsiTheme="minorHAnsi"/>
          <w:szCs w:val="22"/>
        </w:rPr>
        <w:t xml:space="preserve"> studies have shown that the</w:t>
      </w:r>
      <w:r w:rsidR="00F8665A">
        <w:rPr>
          <w:rFonts w:asciiTheme="minorHAnsi" w:hAnsiTheme="minorHAnsi"/>
          <w:szCs w:val="22"/>
        </w:rPr>
        <w:t xml:space="preserve"> </w:t>
      </w:r>
      <w:r w:rsidR="009851AB">
        <w:rPr>
          <w:rFonts w:asciiTheme="minorHAnsi" w:hAnsiTheme="minorHAnsi"/>
          <w:szCs w:val="22"/>
        </w:rPr>
        <w:t xml:space="preserve">aggregate </w:t>
      </w:r>
      <w:r>
        <w:rPr>
          <w:rFonts w:asciiTheme="minorHAnsi" w:hAnsiTheme="minorHAnsi"/>
          <w:szCs w:val="22"/>
        </w:rPr>
        <w:t>cost of</w:t>
      </w:r>
      <w:r w:rsidR="00F8665A">
        <w:rPr>
          <w:rFonts w:asciiTheme="minorHAnsi" w:hAnsiTheme="minorHAnsi"/>
          <w:szCs w:val="22"/>
        </w:rPr>
        <w:t xml:space="preserve"> complying with</w:t>
      </w:r>
      <w:r>
        <w:rPr>
          <w:rFonts w:asciiTheme="minorHAnsi" w:hAnsiTheme="minorHAnsi"/>
          <w:szCs w:val="22"/>
        </w:rPr>
        <w:t xml:space="preserve"> regulation </w:t>
      </w:r>
      <w:r w:rsidR="005F7E5C">
        <w:rPr>
          <w:rFonts w:asciiTheme="minorHAnsi" w:hAnsiTheme="minorHAnsi"/>
          <w:szCs w:val="22"/>
        </w:rPr>
        <w:t>is</w:t>
      </w:r>
      <w:r>
        <w:rPr>
          <w:rFonts w:asciiTheme="minorHAnsi" w:hAnsiTheme="minorHAnsi"/>
          <w:szCs w:val="22"/>
        </w:rPr>
        <w:t xml:space="preserve"> significant. </w:t>
      </w:r>
    </w:p>
    <w:p w:rsidR="00772A91" w:rsidRDefault="000E550D" w:rsidP="00F52F60">
      <w:pPr>
        <w:spacing w:after="120" w:line="276" w:lineRule="auto"/>
        <w:rPr>
          <w:rFonts w:asciiTheme="minorHAnsi" w:hAnsiTheme="minorHAnsi"/>
          <w:szCs w:val="22"/>
        </w:rPr>
      </w:pPr>
      <w:r>
        <w:rPr>
          <w:rFonts w:asciiTheme="minorHAnsi" w:hAnsiTheme="minorHAnsi"/>
          <w:szCs w:val="22"/>
        </w:rPr>
        <w:t xml:space="preserve">In 2013 </w:t>
      </w:r>
      <w:r w:rsidRPr="000E550D">
        <w:rPr>
          <w:rFonts w:asciiTheme="minorHAnsi" w:hAnsiTheme="minorHAnsi"/>
          <w:szCs w:val="22"/>
        </w:rPr>
        <w:t xml:space="preserve">the stock of </w:t>
      </w:r>
      <w:r>
        <w:rPr>
          <w:rFonts w:asciiTheme="minorHAnsi" w:hAnsiTheme="minorHAnsi"/>
          <w:szCs w:val="22"/>
        </w:rPr>
        <w:t xml:space="preserve">Commonwealth </w:t>
      </w:r>
      <w:r w:rsidRPr="000E550D">
        <w:rPr>
          <w:rFonts w:asciiTheme="minorHAnsi" w:hAnsiTheme="minorHAnsi"/>
          <w:szCs w:val="22"/>
        </w:rPr>
        <w:t xml:space="preserve">regulation was </w:t>
      </w:r>
      <w:r>
        <w:rPr>
          <w:rFonts w:asciiTheme="minorHAnsi" w:hAnsiTheme="minorHAnsi"/>
          <w:szCs w:val="22"/>
        </w:rPr>
        <w:t xml:space="preserve">calculated to </w:t>
      </w:r>
      <w:r w:rsidR="00772A91">
        <w:rPr>
          <w:rFonts w:asciiTheme="minorHAnsi" w:hAnsiTheme="minorHAnsi"/>
          <w:szCs w:val="22"/>
        </w:rPr>
        <w:t>impos</w:t>
      </w:r>
      <w:r w:rsidR="00E627CC">
        <w:rPr>
          <w:rFonts w:asciiTheme="minorHAnsi" w:hAnsiTheme="minorHAnsi"/>
          <w:szCs w:val="22"/>
        </w:rPr>
        <w:t>e</w:t>
      </w:r>
      <w:r w:rsidR="00772A91">
        <w:rPr>
          <w:rFonts w:asciiTheme="minorHAnsi" w:hAnsiTheme="minorHAnsi"/>
          <w:szCs w:val="22"/>
        </w:rPr>
        <w:t xml:space="preserve"> compliance costs of </w:t>
      </w:r>
      <w:r w:rsidRPr="000E550D">
        <w:rPr>
          <w:rFonts w:asciiTheme="minorHAnsi" w:hAnsiTheme="minorHAnsi"/>
          <w:szCs w:val="22"/>
        </w:rPr>
        <w:t>around $65 billion</w:t>
      </w:r>
      <w:r>
        <w:rPr>
          <w:rFonts w:asciiTheme="minorHAnsi" w:hAnsiTheme="minorHAnsi"/>
          <w:szCs w:val="22"/>
        </w:rPr>
        <w:t xml:space="preserve"> </w:t>
      </w:r>
      <w:r w:rsidRPr="000E550D">
        <w:rPr>
          <w:rFonts w:asciiTheme="minorHAnsi" w:hAnsiTheme="minorHAnsi"/>
          <w:i/>
          <w:szCs w:val="22"/>
        </w:rPr>
        <w:t>per year</w:t>
      </w:r>
      <w:r w:rsidR="00A43225">
        <w:rPr>
          <w:rFonts w:asciiTheme="minorHAnsi" w:hAnsiTheme="minorHAnsi"/>
          <w:szCs w:val="22"/>
        </w:rPr>
        <w:t xml:space="preserve"> on the Australian economy</w:t>
      </w:r>
      <w:r w:rsidRPr="000E550D">
        <w:rPr>
          <w:rFonts w:asciiTheme="minorHAnsi" w:hAnsiTheme="minorHAnsi"/>
          <w:szCs w:val="22"/>
        </w:rPr>
        <w:t xml:space="preserve">. </w:t>
      </w:r>
      <w:r w:rsidR="00136339">
        <w:rPr>
          <w:rFonts w:asciiTheme="minorHAnsi" w:hAnsiTheme="minorHAnsi"/>
          <w:szCs w:val="22"/>
        </w:rPr>
        <w:t>T</w:t>
      </w:r>
      <w:r w:rsidR="00597087">
        <w:rPr>
          <w:rFonts w:asciiTheme="minorHAnsi" w:hAnsiTheme="minorHAnsi"/>
          <w:szCs w:val="22"/>
        </w:rPr>
        <w:t>his calculation was</w:t>
      </w:r>
      <w:r w:rsidR="00A43225">
        <w:rPr>
          <w:rFonts w:asciiTheme="minorHAnsi" w:hAnsiTheme="minorHAnsi"/>
          <w:szCs w:val="22"/>
        </w:rPr>
        <w:t xml:space="preserve"> </w:t>
      </w:r>
      <w:r w:rsidR="00EB68F4">
        <w:rPr>
          <w:rFonts w:asciiTheme="minorHAnsi" w:hAnsiTheme="minorHAnsi"/>
          <w:szCs w:val="22"/>
        </w:rPr>
        <w:t xml:space="preserve">based on </w:t>
      </w:r>
      <w:r w:rsidR="00136339">
        <w:rPr>
          <w:rFonts w:asciiTheme="minorHAnsi" w:hAnsiTheme="minorHAnsi"/>
          <w:szCs w:val="22"/>
        </w:rPr>
        <w:t xml:space="preserve">estimates and </w:t>
      </w:r>
      <w:r w:rsidR="00EB68F4">
        <w:rPr>
          <w:rFonts w:asciiTheme="minorHAnsi" w:hAnsiTheme="minorHAnsi"/>
          <w:szCs w:val="22"/>
        </w:rPr>
        <w:t>survey data</w:t>
      </w:r>
      <w:r w:rsidR="00136339">
        <w:rPr>
          <w:rFonts w:asciiTheme="minorHAnsi" w:hAnsiTheme="minorHAnsi"/>
          <w:szCs w:val="22"/>
        </w:rPr>
        <w:t>,</w:t>
      </w:r>
      <w:r w:rsidR="00EB68F4">
        <w:rPr>
          <w:rFonts w:asciiTheme="minorHAnsi" w:hAnsiTheme="minorHAnsi"/>
          <w:szCs w:val="22"/>
        </w:rPr>
        <w:t xml:space="preserve"> and is not a true market calculation (in the sense that it includes costs of private citizens not typically included in GDP calculations)</w:t>
      </w:r>
      <w:r w:rsidR="00772A91">
        <w:rPr>
          <w:rFonts w:asciiTheme="minorHAnsi" w:hAnsiTheme="minorHAnsi"/>
          <w:szCs w:val="22"/>
        </w:rPr>
        <w:t>,</w:t>
      </w:r>
      <w:r w:rsidR="00EB68F4">
        <w:rPr>
          <w:rFonts w:asciiTheme="minorHAnsi" w:hAnsiTheme="minorHAnsi"/>
          <w:szCs w:val="22"/>
        </w:rPr>
        <w:t xml:space="preserve"> </w:t>
      </w:r>
      <w:r w:rsidR="00136339">
        <w:rPr>
          <w:rFonts w:asciiTheme="minorHAnsi" w:hAnsiTheme="minorHAnsi"/>
          <w:szCs w:val="22"/>
        </w:rPr>
        <w:t xml:space="preserve">but </w:t>
      </w:r>
      <w:r w:rsidR="00EB68F4">
        <w:rPr>
          <w:rFonts w:asciiTheme="minorHAnsi" w:hAnsiTheme="minorHAnsi"/>
          <w:szCs w:val="22"/>
        </w:rPr>
        <w:t xml:space="preserve">it is </w:t>
      </w:r>
      <w:r w:rsidR="00597087">
        <w:rPr>
          <w:rFonts w:asciiTheme="minorHAnsi" w:hAnsiTheme="minorHAnsi"/>
          <w:szCs w:val="22"/>
        </w:rPr>
        <w:t xml:space="preserve">nevertheless </w:t>
      </w:r>
      <w:r w:rsidR="00EB68F4">
        <w:rPr>
          <w:rFonts w:asciiTheme="minorHAnsi" w:hAnsiTheme="minorHAnsi"/>
          <w:szCs w:val="22"/>
        </w:rPr>
        <w:t xml:space="preserve">a staggering number. </w:t>
      </w:r>
      <w:r w:rsidRPr="000E550D">
        <w:rPr>
          <w:rFonts w:asciiTheme="minorHAnsi" w:hAnsiTheme="minorHAnsi"/>
          <w:szCs w:val="22"/>
        </w:rPr>
        <w:t xml:space="preserve">The Treasury Portfolio </w:t>
      </w:r>
      <w:r w:rsidR="00E627CC">
        <w:rPr>
          <w:rFonts w:asciiTheme="minorHAnsi" w:hAnsiTheme="minorHAnsi"/>
          <w:szCs w:val="22"/>
        </w:rPr>
        <w:t>has</w:t>
      </w:r>
      <w:r w:rsidR="00EB68F4">
        <w:rPr>
          <w:rFonts w:asciiTheme="minorHAnsi" w:hAnsiTheme="minorHAnsi"/>
          <w:szCs w:val="22"/>
        </w:rPr>
        <w:t xml:space="preserve"> by far the largest</w:t>
      </w:r>
      <w:r w:rsidR="005F7E5C">
        <w:rPr>
          <w:rFonts w:asciiTheme="minorHAnsi" w:hAnsiTheme="minorHAnsi"/>
          <w:szCs w:val="22"/>
        </w:rPr>
        <w:t xml:space="preserve"> </w:t>
      </w:r>
      <w:r w:rsidR="00E627CC">
        <w:rPr>
          <w:rFonts w:asciiTheme="minorHAnsi" w:hAnsiTheme="minorHAnsi"/>
          <w:szCs w:val="22"/>
        </w:rPr>
        <w:t xml:space="preserve">set of </w:t>
      </w:r>
      <w:r w:rsidR="001E612B">
        <w:rPr>
          <w:rFonts w:asciiTheme="minorHAnsi" w:hAnsiTheme="minorHAnsi"/>
          <w:szCs w:val="22"/>
        </w:rPr>
        <w:t>regulat</w:t>
      </w:r>
      <w:r w:rsidR="00E627CC">
        <w:rPr>
          <w:rFonts w:asciiTheme="minorHAnsi" w:hAnsiTheme="minorHAnsi"/>
          <w:szCs w:val="22"/>
        </w:rPr>
        <w:t>ory</w:t>
      </w:r>
      <w:r w:rsidR="001E612B">
        <w:rPr>
          <w:rFonts w:asciiTheme="minorHAnsi" w:hAnsiTheme="minorHAnsi"/>
          <w:szCs w:val="22"/>
        </w:rPr>
        <w:t xml:space="preserve"> responsibilit</w:t>
      </w:r>
      <w:r w:rsidR="00E627CC">
        <w:rPr>
          <w:rFonts w:asciiTheme="minorHAnsi" w:hAnsiTheme="minorHAnsi"/>
          <w:szCs w:val="22"/>
        </w:rPr>
        <w:t>ies</w:t>
      </w:r>
      <w:r w:rsidR="001E612B">
        <w:rPr>
          <w:rFonts w:asciiTheme="minorHAnsi" w:hAnsiTheme="minorHAnsi"/>
          <w:szCs w:val="22"/>
        </w:rPr>
        <w:t>, which</w:t>
      </w:r>
      <w:r w:rsidR="00A43225">
        <w:rPr>
          <w:rFonts w:asciiTheme="minorHAnsi" w:hAnsiTheme="minorHAnsi"/>
          <w:szCs w:val="22"/>
        </w:rPr>
        <w:t xml:space="preserve"> </w:t>
      </w:r>
      <w:r w:rsidR="00E627CC">
        <w:rPr>
          <w:rFonts w:asciiTheme="minorHAnsi" w:hAnsiTheme="minorHAnsi"/>
          <w:szCs w:val="22"/>
        </w:rPr>
        <w:t>are</w:t>
      </w:r>
      <w:r w:rsidRPr="000E550D">
        <w:rPr>
          <w:rFonts w:asciiTheme="minorHAnsi" w:hAnsiTheme="minorHAnsi"/>
          <w:szCs w:val="22"/>
        </w:rPr>
        <w:t xml:space="preserve"> estimated to </w:t>
      </w:r>
      <w:r w:rsidR="00A43225">
        <w:rPr>
          <w:rFonts w:asciiTheme="minorHAnsi" w:hAnsiTheme="minorHAnsi"/>
          <w:szCs w:val="22"/>
        </w:rPr>
        <w:t>im</w:t>
      </w:r>
      <w:r w:rsidRPr="000E550D">
        <w:rPr>
          <w:rFonts w:asciiTheme="minorHAnsi" w:hAnsiTheme="minorHAnsi"/>
          <w:szCs w:val="22"/>
        </w:rPr>
        <w:t>pose</w:t>
      </w:r>
      <w:r w:rsidR="001E612B" w:rsidRPr="001E612B">
        <w:rPr>
          <w:rFonts w:asciiTheme="minorHAnsi" w:hAnsiTheme="minorHAnsi"/>
          <w:szCs w:val="22"/>
        </w:rPr>
        <w:t xml:space="preserve"> </w:t>
      </w:r>
      <w:r w:rsidR="001E612B">
        <w:rPr>
          <w:rFonts w:asciiTheme="minorHAnsi" w:hAnsiTheme="minorHAnsi"/>
          <w:szCs w:val="22"/>
        </w:rPr>
        <w:t>on the community</w:t>
      </w:r>
      <w:r w:rsidRPr="000E550D">
        <w:rPr>
          <w:rFonts w:asciiTheme="minorHAnsi" w:hAnsiTheme="minorHAnsi"/>
          <w:szCs w:val="22"/>
        </w:rPr>
        <w:t xml:space="preserve"> a total annual compliance cost of around $47 billion </w:t>
      </w:r>
      <w:r w:rsidR="00EB68F4">
        <w:rPr>
          <w:rFonts w:asciiTheme="minorHAnsi" w:hAnsiTheme="minorHAnsi"/>
          <w:szCs w:val="22"/>
        </w:rPr>
        <w:t>through tax, financial system, corporations, competition</w:t>
      </w:r>
      <w:r w:rsidR="001E612B">
        <w:rPr>
          <w:rFonts w:asciiTheme="minorHAnsi" w:hAnsiTheme="minorHAnsi"/>
          <w:szCs w:val="22"/>
        </w:rPr>
        <w:t xml:space="preserve"> </w:t>
      </w:r>
      <w:r w:rsidR="00EB68F4">
        <w:rPr>
          <w:rFonts w:asciiTheme="minorHAnsi" w:hAnsiTheme="minorHAnsi"/>
          <w:szCs w:val="22"/>
        </w:rPr>
        <w:t>and consumer law</w:t>
      </w:r>
      <w:r w:rsidR="00597087">
        <w:rPr>
          <w:rFonts w:asciiTheme="minorHAnsi" w:hAnsiTheme="minorHAnsi"/>
          <w:szCs w:val="22"/>
        </w:rPr>
        <w:t>s</w:t>
      </w:r>
      <w:r w:rsidR="00E627CC">
        <w:rPr>
          <w:rFonts w:asciiTheme="minorHAnsi" w:hAnsiTheme="minorHAnsi"/>
          <w:szCs w:val="22"/>
        </w:rPr>
        <w:t xml:space="preserve"> and regulations</w:t>
      </w:r>
      <w:r w:rsidR="00EB68F4">
        <w:rPr>
          <w:rFonts w:asciiTheme="minorHAnsi" w:hAnsiTheme="minorHAnsi"/>
          <w:szCs w:val="22"/>
        </w:rPr>
        <w:t>.</w:t>
      </w:r>
      <w:r w:rsidR="00E627CC">
        <w:rPr>
          <w:rFonts w:asciiTheme="minorHAnsi" w:hAnsiTheme="minorHAnsi"/>
          <w:szCs w:val="22"/>
        </w:rPr>
        <w:t xml:space="preserve"> </w:t>
      </w:r>
      <w:r w:rsidR="00EB68F4">
        <w:rPr>
          <w:rFonts w:asciiTheme="minorHAnsi" w:hAnsiTheme="minorHAnsi"/>
          <w:szCs w:val="22"/>
        </w:rPr>
        <w:t xml:space="preserve"> </w:t>
      </w:r>
      <w:r w:rsidR="00EA7C76">
        <w:rPr>
          <w:rFonts w:asciiTheme="minorHAnsi" w:hAnsiTheme="minorHAnsi"/>
          <w:szCs w:val="22"/>
        </w:rPr>
        <w:t>Of this</w:t>
      </w:r>
      <w:r w:rsidR="00597087">
        <w:rPr>
          <w:rFonts w:asciiTheme="minorHAnsi" w:hAnsiTheme="minorHAnsi"/>
          <w:szCs w:val="22"/>
        </w:rPr>
        <w:t xml:space="preserve"> figure</w:t>
      </w:r>
      <w:r w:rsidR="00EA7C76">
        <w:rPr>
          <w:rFonts w:asciiTheme="minorHAnsi" w:hAnsiTheme="minorHAnsi"/>
          <w:szCs w:val="22"/>
        </w:rPr>
        <w:t xml:space="preserve">, </w:t>
      </w:r>
      <w:r w:rsidR="00E627CC">
        <w:rPr>
          <w:rFonts w:asciiTheme="minorHAnsi" w:hAnsiTheme="minorHAnsi"/>
          <w:szCs w:val="22"/>
        </w:rPr>
        <w:t xml:space="preserve">the </w:t>
      </w:r>
      <w:r w:rsidR="00EA7C76">
        <w:rPr>
          <w:rFonts w:asciiTheme="minorHAnsi" w:hAnsiTheme="minorHAnsi"/>
          <w:szCs w:val="22"/>
        </w:rPr>
        <w:t>t</w:t>
      </w:r>
      <w:r w:rsidR="00EB68F4">
        <w:rPr>
          <w:rFonts w:asciiTheme="minorHAnsi" w:hAnsiTheme="minorHAnsi"/>
          <w:szCs w:val="22"/>
        </w:rPr>
        <w:t xml:space="preserve">axation </w:t>
      </w:r>
      <w:r w:rsidR="00597087">
        <w:rPr>
          <w:rFonts w:asciiTheme="minorHAnsi" w:hAnsiTheme="minorHAnsi"/>
          <w:szCs w:val="22"/>
        </w:rPr>
        <w:t xml:space="preserve">compliance burden </w:t>
      </w:r>
      <w:r w:rsidR="00EB68F4">
        <w:rPr>
          <w:rFonts w:asciiTheme="minorHAnsi" w:hAnsiTheme="minorHAnsi"/>
          <w:szCs w:val="22"/>
        </w:rPr>
        <w:t>is by far the largest component</w:t>
      </w:r>
      <w:r w:rsidR="00A43225">
        <w:rPr>
          <w:rFonts w:asciiTheme="minorHAnsi" w:hAnsiTheme="minorHAnsi"/>
          <w:szCs w:val="22"/>
        </w:rPr>
        <w:t>,</w:t>
      </w:r>
      <w:r w:rsidR="00EB68F4">
        <w:rPr>
          <w:rFonts w:asciiTheme="minorHAnsi" w:hAnsiTheme="minorHAnsi"/>
          <w:szCs w:val="22"/>
        </w:rPr>
        <w:t xml:space="preserve"> comprising around $40 billion. </w:t>
      </w:r>
    </w:p>
    <w:p w:rsidR="000E550D" w:rsidRDefault="00EB68F4" w:rsidP="00F52F60">
      <w:pPr>
        <w:spacing w:after="120" w:line="276" w:lineRule="auto"/>
        <w:rPr>
          <w:rFonts w:asciiTheme="minorHAnsi" w:hAnsiTheme="minorHAnsi"/>
          <w:szCs w:val="22"/>
        </w:rPr>
      </w:pPr>
      <w:r>
        <w:rPr>
          <w:rFonts w:asciiTheme="minorHAnsi" w:hAnsiTheme="minorHAnsi"/>
          <w:szCs w:val="22"/>
        </w:rPr>
        <w:t xml:space="preserve">The Treasury </w:t>
      </w:r>
      <w:r w:rsidR="000E550D" w:rsidRPr="000E550D">
        <w:rPr>
          <w:rFonts w:asciiTheme="minorHAnsi" w:hAnsiTheme="minorHAnsi"/>
          <w:szCs w:val="22"/>
        </w:rPr>
        <w:t xml:space="preserve">is responsible for </w:t>
      </w:r>
      <w:r w:rsidR="00597087">
        <w:rPr>
          <w:rFonts w:asciiTheme="minorHAnsi" w:hAnsiTheme="minorHAnsi"/>
          <w:szCs w:val="22"/>
        </w:rPr>
        <w:t>over</w:t>
      </w:r>
      <w:r w:rsidR="000E550D" w:rsidRPr="000E550D">
        <w:rPr>
          <w:rFonts w:asciiTheme="minorHAnsi" w:hAnsiTheme="minorHAnsi"/>
          <w:szCs w:val="22"/>
        </w:rPr>
        <w:t xml:space="preserve"> 51,000 pieces of regulation</w:t>
      </w:r>
      <w:r w:rsidR="000E550D" w:rsidRPr="000E550D">
        <w:rPr>
          <w:rFonts w:asciiTheme="minorHAnsi" w:hAnsiTheme="minorHAnsi"/>
          <w:szCs w:val="22"/>
          <w:vertAlign w:val="superscript"/>
        </w:rPr>
        <w:footnoteReference w:id="3"/>
      </w:r>
      <w:r w:rsidR="0064320F">
        <w:rPr>
          <w:rFonts w:asciiTheme="minorHAnsi" w:hAnsiTheme="minorHAnsi"/>
          <w:szCs w:val="22"/>
        </w:rPr>
        <w:t xml:space="preserve">: </w:t>
      </w:r>
      <w:r>
        <w:rPr>
          <w:rFonts w:asciiTheme="minorHAnsi" w:hAnsiTheme="minorHAnsi"/>
          <w:szCs w:val="22"/>
        </w:rPr>
        <w:t>an enormous body of regulatory material</w:t>
      </w:r>
      <w:r w:rsidR="00597087">
        <w:rPr>
          <w:rFonts w:asciiTheme="minorHAnsi" w:hAnsiTheme="minorHAnsi"/>
          <w:szCs w:val="22"/>
        </w:rPr>
        <w:t xml:space="preserve"> when one considers t</w:t>
      </w:r>
      <w:r>
        <w:rPr>
          <w:rFonts w:asciiTheme="minorHAnsi" w:hAnsiTheme="minorHAnsi"/>
          <w:szCs w:val="22"/>
        </w:rPr>
        <w:t>he primary income tax</w:t>
      </w:r>
      <w:r w:rsidR="009E289B">
        <w:rPr>
          <w:rFonts w:asciiTheme="minorHAnsi" w:hAnsiTheme="minorHAnsi"/>
          <w:szCs w:val="22"/>
        </w:rPr>
        <w:t>ing</w:t>
      </w:r>
      <w:r>
        <w:rPr>
          <w:rFonts w:asciiTheme="minorHAnsi" w:hAnsiTheme="minorHAnsi"/>
          <w:szCs w:val="22"/>
        </w:rPr>
        <w:t xml:space="preserve"> act</w:t>
      </w:r>
      <w:r w:rsidR="009E289B">
        <w:rPr>
          <w:rFonts w:asciiTheme="minorHAnsi" w:hAnsiTheme="minorHAnsi"/>
          <w:szCs w:val="22"/>
        </w:rPr>
        <w:t xml:space="preserve"> </w:t>
      </w:r>
      <w:r w:rsidR="00E627CC">
        <w:rPr>
          <w:rFonts w:asciiTheme="minorHAnsi" w:hAnsiTheme="minorHAnsi"/>
          <w:szCs w:val="22"/>
        </w:rPr>
        <w:sym w:font="Symbol" w:char="F0BE"/>
      </w:r>
      <w:r w:rsidR="00E627CC">
        <w:rPr>
          <w:rFonts w:asciiTheme="minorHAnsi" w:hAnsiTheme="minorHAnsi"/>
          <w:szCs w:val="22"/>
        </w:rPr>
        <w:t xml:space="preserve"> </w:t>
      </w:r>
      <w:r>
        <w:rPr>
          <w:rFonts w:asciiTheme="minorHAnsi" w:hAnsiTheme="minorHAnsi"/>
          <w:szCs w:val="22"/>
        </w:rPr>
        <w:t xml:space="preserve">the </w:t>
      </w:r>
      <w:r w:rsidR="009E289B" w:rsidRPr="009E289B">
        <w:rPr>
          <w:rFonts w:asciiTheme="minorHAnsi" w:hAnsiTheme="minorHAnsi"/>
          <w:i/>
          <w:szCs w:val="22"/>
        </w:rPr>
        <w:t>Income Tax Assessment Act</w:t>
      </w:r>
      <w:r w:rsidR="009E289B">
        <w:rPr>
          <w:rFonts w:asciiTheme="minorHAnsi" w:hAnsiTheme="minorHAnsi"/>
          <w:szCs w:val="22"/>
        </w:rPr>
        <w:t xml:space="preserve"> </w:t>
      </w:r>
      <w:r>
        <w:rPr>
          <w:rFonts w:asciiTheme="minorHAnsi" w:hAnsiTheme="minorHAnsi"/>
          <w:szCs w:val="22"/>
        </w:rPr>
        <w:t xml:space="preserve">1997 </w:t>
      </w:r>
      <w:r w:rsidR="00E627CC">
        <w:rPr>
          <w:rFonts w:asciiTheme="minorHAnsi" w:hAnsiTheme="minorHAnsi"/>
          <w:szCs w:val="22"/>
        </w:rPr>
        <w:sym w:font="Symbol" w:char="F0BE"/>
      </w:r>
      <w:r w:rsidR="00E627CC">
        <w:rPr>
          <w:rFonts w:asciiTheme="minorHAnsi" w:hAnsiTheme="minorHAnsi"/>
          <w:szCs w:val="22"/>
        </w:rPr>
        <w:t xml:space="preserve"> </w:t>
      </w:r>
      <w:r>
        <w:rPr>
          <w:rFonts w:asciiTheme="minorHAnsi" w:hAnsiTheme="minorHAnsi"/>
          <w:szCs w:val="22"/>
        </w:rPr>
        <w:t xml:space="preserve">is </w:t>
      </w:r>
      <w:r w:rsidR="009E289B">
        <w:rPr>
          <w:rFonts w:asciiTheme="minorHAnsi" w:hAnsiTheme="minorHAnsi"/>
          <w:szCs w:val="22"/>
        </w:rPr>
        <w:t>counted in this figure</w:t>
      </w:r>
      <w:r>
        <w:rPr>
          <w:rFonts w:asciiTheme="minorHAnsi" w:hAnsiTheme="minorHAnsi"/>
          <w:szCs w:val="22"/>
        </w:rPr>
        <w:t xml:space="preserve"> as merely one regulation</w:t>
      </w:r>
      <w:r w:rsidR="00772A91">
        <w:rPr>
          <w:rFonts w:asciiTheme="minorHAnsi" w:hAnsiTheme="minorHAnsi"/>
          <w:szCs w:val="22"/>
        </w:rPr>
        <w:t>,</w:t>
      </w:r>
      <w:r>
        <w:rPr>
          <w:rFonts w:asciiTheme="minorHAnsi" w:hAnsiTheme="minorHAnsi"/>
          <w:szCs w:val="22"/>
        </w:rPr>
        <w:t xml:space="preserve"> and it </w:t>
      </w:r>
      <w:r w:rsidR="00597087">
        <w:rPr>
          <w:rFonts w:asciiTheme="minorHAnsi" w:hAnsiTheme="minorHAnsi"/>
          <w:szCs w:val="22"/>
        </w:rPr>
        <w:t xml:space="preserve">alone </w:t>
      </w:r>
      <w:r>
        <w:rPr>
          <w:rFonts w:asciiTheme="minorHAnsi" w:hAnsiTheme="minorHAnsi"/>
          <w:szCs w:val="22"/>
        </w:rPr>
        <w:t xml:space="preserve">comprises many thousands of pages. </w:t>
      </w:r>
      <w:r w:rsidR="00494952">
        <w:rPr>
          <w:rFonts w:asciiTheme="minorHAnsi" w:hAnsiTheme="minorHAnsi"/>
          <w:szCs w:val="22"/>
        </w:rPr>
        <w:t>Most</w:t>
      </w:r>
      <w:r>
        <w:rPr>
          <w:rFonts w:asciiTheme="minorHAnsi" w:hAnsiTheme="minorHAnsi"/>
          <w:szCs w:val="22"/>
        </w:rPr>
        <w:t xml:space="preserve"> </w:t>
      </w:r>
      <w:r w:rsidR="009E289B">
        <w:rPr>
          <w:rFonts w:asciiTheme="minorHAnsi" w:hAnsiTheme="minorHAnsi"/>
          <w:szCs w:val="22"/>
        </w:rPr>
        <w:t xml:space="preserve">major </w:t>
      </w:r>
      <w:r>
        <w:rPr>
          <w:rFonts w:asciiTheme="minorHAnsi" w:hAnsiTheme="minorHAnsi"/>
          <w:szCs w:val="22"/>
        </w:rPr>
        <w:t>sub-element</w:t>
      </w:r>
      <w:r w:rsidR="00494952">
        <w:rPr>
          <w:rFonts w:asciiTheme="minorHAnsi" w:hAnsiTheme="minorHAnsi"/>
          <w:szCs w:val="22"/>
        </w:rPr>
        <w:t>s</w:t>
      </w:r>
      <w:r>
        <w:rPr>
          <w:rFonts w:asciiTheme="minorHAnsi" w:hAnsiTheme="minorHAnsi"/>
          <w:szCs w:val="22"/>
        </w:rPr>
        <w:t xml:space="preserve"> </w:t>
      </w:r>
      <w:r w:rsidR="00772A91">
        <w:rPr>
          <w:rFonts w:asciiTheme="minorHAnsi" w:hAnsiTheme="minorHAnsi"/>
          <w:szCs w:val="22"/>
        </w:rPr>
        <w:t xml:space="preserve">of that Act </w:t>
      </w:r>
      <w:r w:rsidR="00494952">
        <w:rPr>
          <w:rFonts w:asciiTheme="minorHAnsi" w:hAnsiTheme="minorHAnsi"/>
          <w:szCs w:val="22"/>
        </w:rPr>
        <w:t>are</w:t>
      </w:r>
      <w:r>
        <w:rPr>
          <w:rFonts w:asciiTheme="minorHAnsi" w:hAnsiTheme="minorHAnsi"/>
          <w:szCs w:val="22"/>
        </w:rPr>
        <w:t xml:space="preserve"> tremendously complicated</w:t>
      </w:r>
      <w:r w:rsidR="000E550D" w:rsidRPr="000E550D">
        <w:rPr>
          <w:rFonts w:asciiTheme="minorHAnsi" w:hAnsiTheme="minorHAnsi"/>
          <w:szCs w:val="22"/>
        </w:rPr>
        <w:t>. There are</w:t>
      </w:r>
      <w:r w:rsidR="009E289B">
        <w:rPr>
          <w:rFonts w:asciiTheme="minorHAnsi" w:hAnsiTheme="minorHAnsi"/>
          <w:szCs w:val="22"/>
        </w:rPr>
        <w:t>,</w:t>
      </w:r>
      <w:r w:rsidR="000E550D" w:rsidRPr="000E550D">
        <w:rPr>
          <w:rFonts w:asciiTheme="minorHAnsi" w:hAnsiTheme="minorHAnsi"/>
          <w:szCs w:val="22"/>
        </w:rPr>
        <w:t xml:space="preserve"> for example, over 800 pages of tax law solely</w:t>
      </w:r>
      <w:r w:rsidR="00772A91">
        <w:rPr>
          <w:rFonts w:asciiTheme="minorHAnsi" w:hAnsiTheme="minorHAnsi"/>
          <w:szCs w:val="22"/>
        </w:rPr>
        <w:t xml:space="preserve"> devoted to </w:t>
      </w:r>
      <w:r w:rsidR="000E550D" w:rsidRPr="000E550D">
        <w:rPr>
          <w:rFonts w:asciiTheme="minorHAnsi" w:hAnsiTheme="minorHAnsi"/>
          <w:szCs w:val="22"/>
        </w:rPr>
        <w:t xml:space="preserve">the </w:t>
      </w:r>
      <w:r w:rsidR="0064320F">
        <w:rPr>
          <w:rFonts w:asciiTheme="minorHAnsi" w:hAnsiTheme="minorHAnsi"/>
          <w:szCs w:val="22"/>
        </w:rPr>
        <w:t>seemingly straightforward</w:t>
      </w:r>
      <w:r w:rsidR="0064320F" w:rsidRPr="000E550D">
        <w:rPr>
          <w:rFonts w:asciiTheme="minorHAnsi" w:hAnsiTheme="minorHAnsi"/>
          <w:szCs w:val="22"/>
        </w:rPr>
        <w:t xml:space="preserve"> </w:t>
      </w:r>
      <w:r w:rsidR="000E550D" w:rsidRPr="000E550D">
        <w:rPr>
          <w:rFonts w:asciiTheme="minorHAnsi" w:hAnsiTheme="minorHAnsi"/>
          <w:szCs w:val="22"/>
        </w:rPr>
        <w:t>matter of taxing, or relieving from tax, gains</w:t>
      </w:r>
      <w:r w:rsidR="00BC54FF">
        <w:rPr>
          <w:rFonts w:asciiTheme="minorHAnsi" w:hAnsiTheme="minorHAnsi"/>
          <w:szCs w:val="22"/>
        </w:rPr>
        <w:t xml:space="preserve"> arising from the sale of assets</w:t>
      </w:r>
      <w:r w:rsidR="000E550D" w:rsidRPr="000E550D">
        <w:rPr>
          <w:rFonts w:asciiTheme="minorHAnsi" w:hAnsiTheme="minorHAnsi"/>
          <w:szCs w:val="22"/>
        </w:rPr>
        <w:t xml:space="preserve">.  </w:t>
      </w:r>
      <w:r w:rsidR="00BC54FF">
        <w:rPr>
          <w:rFonts w:asciiTheme="minorHAnsi" w:hAnsiTheme="minorHAnsi"/>
          <w:szCs w:val="22"/>
        </w:rPr>
        <w:t>D</w:t>
      </w:r>
      <w:r w:rsidR="000E550D" w:rsidRPr="000E550D">
        <w:rPr>
          <w:rFonts w:asciiTheme="minorHAnsi" w:hAnsiTheme="minorHAnsi"/>
          <w:szCs w:val="22"/>
        </w:rPr>
        <w:t>espite the red tape reductions achieved over the past few years, the community and business still see the accumulation of regulatory burden as a major pain point.</w:t>
      </w:r>
    </w:p>
    <w:p w:rsidR="00EB68F4" w:rsidRDefault="00EB68F4" w:rsidP="00F52F60">
      <w:pPr>
        <w:spacing w:after="120" w:line="276" w:lineRule="auto"/>
        <w:rPr>
          <w:rFonts w:asciiTheme="minorHAnsi" w:hAnsiTheme="minorHAnsi"/>
          <w:szCs w:val="22"/>
        </w:rPr>
      </w:pPr>
      <w:r>
        <w:rPr>
          <w:rFonts w:asciiTheme="minorHAnsi" w:hAnsiTheme="minorHAnsi"/>
          <w:szCs w:val="22"/>
        </w:rPr>
        <w:t xml:space="preserve">While </w:t>
      </w:r>
      <w:r w:rsidR="00BC54FF">
        <w:rPr>
          <w:rFonts w:asciiTheme="minorHAnsi" w:hAnsiTheme="minorHAnsi"/>
          <w:szCs w:val="22"/>
        </w:rPr>
        <w:t xml:space="preserve">of course </w:t>
      </w:r>
      <w:r w:rsidRPr="00BC54FF">
        <w:rPr>
          <w:rFonts w:asciiTheme="minorHAnsi" w:hAnsiTheme="minorHAnsi"/>
          <w:i/>
          <w:szCs w:val="22"/>
        </w:rPr>
        <w:t>some</w:t>
      </w:r>
      <w:r>
        <w:rPr>
          <w:rFonts w:asciiTheme="minorHAnsi" w:hAnsiTheme="minorHAnsi"/>
          <w:szCs w:val="22"/>
        </w:rPr>
        <w:t xml:space="preserve"> cost would be imposed by even the best designed taxation or other regulatory systems, </w:t>
      </w:r>
      <w:r w:rsidR="00BC54FF">
        <w:rPr>
          <w:rFonts w:asciiTheme="minorHAnsi" w:hAnsiTheme="minorHAnsi"/>
          <w:szCs w:val="22"/>
        </w:rPr>
        <w:t xml:space="preserve">the sheer size of the </w:t>
      </w:r>
      <w:r w:rsidR="00597087">
        <w:rPr>
          <w:rFonts w:asciiTheme="minorHAnsi" w:hAnsiTheme="minorHAnsi"/>
          <w:szCs w:val="22"/>
        </w:rPr>
        <w:t xml:space="preserve">current </w:t>
      </w:r>
      <w:r w:rsidR="00BC54FF">
        <w:rPr>
          <w:rFonts w:asciiTheme="minorHAnsi" w:hAnsiTheme="minorHAnsi"/>
          <w:szCs w:val="22"/>
        </w:rPr>
        <w:t>compliance cost burden suggests we must be very far from best practice.  I</w:t>
      </w:r>
      <w:r>
        <w:rPr>
          <w:rFonts w:asciiTheme="minorHAnsi" w:hAnsiTheme="minorHAnsi"/>
          <w:szCs w:val="22"/>
        </w:rPr>
        <w:t xml:space="preserve">f it were possible to reduce the </w:t>
      </w:r>
      <w:r w:rsidR="00597087">
        <w:rPr>
          <w:rFonts w:asciiTheme="minorHAnsi" w:hAnsiTheme="minorHAnsi"/>
          <w:szCs w:val="22"/>
        </w:rPr>
        <w:t>present</w:t>
      </w:r>
      <w:r>
        <w:rPr>
          <w:rFonts w:asciiTheme="minorHAnsi" w:hAnsiTheme="minorHAnsi"/>
          <w:szCs w:val="22"/>
        </w:rPr>
        <w:t xml:space="preserve"> impost by even 10%</w:t>
      </w:r>
      <w:r w:rsidR="00BC54FF">
        <w:rPr>
          <w:rFonts w:asciiTheme="minorHAnsi" w:hAnsiTheme="minorHAnsi"/>
          <w:szCs w:val="22"/>
        </w:rPr>
        <w:t xml:space="preserve"> — a reduction of around $</w:t>
      </w:r>
      <w:r w:rsidR="00494952">
        <w:rPr>
          <w:rFonts w:asciiTheme="minorHAnsi" w:hAnsiTheme="minorHAnsi"/>
          <w:szCs w:val="22"/>
        </w:rPr>
        <w:t>6-</w:t>
      </w:r>
      <w:r w:rsidR="00BC54FF">
        <w:rPr>
          <w:rFonts w:asciiTheme="minorHAnsi" w:hAnsiTheme="minorHAnsi"/>
          <w:szCs w:val="22"/>
        </w:rPr>
        <w:t>7 billion per annum —</w:t>
      </w:r>
      <w:r>
        <w:rPr>
          <w:rFonts w:asciiTheme="minorHAnsi" w:hAnsiTheme="minorHAnsi"/>
          <w:szCs w:val="22"/>
        </w:rPr>
        <w:t xml:space="preserve"> the benefit to business and the community would be as </w:t>
      </w:r>
      <w:r w:rsidR="00494952">
        <w:rPr>
          <w:rFonts w:asciiTheme="minorHAnsi" w:hAnsiTheme="minorHAnsi"/>
          <w:szCs w:val="22"/>
        </w:rPr>
        <w:t>large</w:t>
      </w:r>
      <w:r w:rsidR="009E289B">
        <w:rPr>
          <w:rFonts w:asciiTheme="minorHAnsi" w:hAnsiTheme="minorHAnsi"/>
          <w:szCs w:val="22"/>
        </w:rPr>
        <w:t xml:space="preserve"> as </w:t>
      </w:r>
      <w:r w:rsidR="00494952">
        <w:rPr>
          <w:rFonts w:asciiTheme="minorHAnsi" w:hAnsiTheme="minorHAnsi"/>
          <w:szCs w:val="22"/>
        </w:rPr>
        <w:t xml:space="preserve">those </w:t>
      </w:r>
      <w:r w:rsidR="00597087">
        <w:rPr>
          <w:rFonts w:asciiTheme="minorHAnsi" w:hAnsiTheme="minorHAnsi"/>
          <w:szCs w:val="22"/>
        </w:rPr>
        <w:t>hoped for</w:t>
      </w:r>
      <w:r w:rsidR="00494952">
        <w:rPr>
          <w:rFonts w:asciiTheme="minorHAnsi" w:hAnsiTheme="minorHAnsi"/>
          <w:szCs w:val="22"/>
        </w:rPr>
        <w:t xml:space="preserve"> from </w:t>
      </w:r>
      <w:r w:rsidR="009E289B">
        <w:rPr>
          <w:rFonts w:asciiTheme="minorHAnsi" w:hAnsiTheme="minorHAnsi"/>
          <w:szCs w:val="22"/>
        </w:rPr>
        <w:t xml:space="preserve">many of the </w:t>
      </w:r>
      <w:r w:rsidR="00BC54FF">
        <w:rPr>
          <w:rFonts w:asciiTheme="minorHAnsi" w:hAnsiTheme="minorHAnsi"/>
          <w:szCs w:val="22"/>
        </w:rPr>
        <w:t xml:space="preserve">ambitious </w:t>
      </w:r>
      <w:r w:rsidR="009E289B">
        <w:rPr>
          <w:rFonts w:asciiTheme="minorHAnsi" w:hAnsiTheme="minorHAnsi"/>
          <w:szCs w:val="22"/>
        </w:rPr>
        <w:t>economic reforms pursued in recent decades.</w:t>
      </w:r>
    </w:p>
    <w:p w:rsidR="00F52F60" w:rsidRDefault="004D088C" w:rsidP="00F52F60">
      <w:pPr>
        <w:spacing w:after="120" w:line="276" w:lineRule="auto"/>
        <w:rPr>
          <w:rFonts w:asciiTheme="minorHAnsi" w:hAnsiTheme="minorHAnsi"/>
          <w:szCs w:val="22"/>
        </w:rPr>
      </w:pPr>
      <w:r>
        <w:rPr>
          <w:rFonts w:asciiTheme="minorHAnsi" w:hAnsiTheme="minorHAnsi"/>
          <w:szCs w:val="22"/>
        </w:rPr>
        <w:t xml:space="preserve">It follows </w:t>
      </w:r>
      <w:r w:rsidR="00BC54FF">
        <w:rPr>
          <w:rFonts w:asciiTheme="minorHAnsi" w:hAnsiTheme="minorHAnsi"/>
          <w:szCs w:val="22"/>
        </w:rPr>
        <w:t xml:space="preserve">that </w:t>
      </w:r>
      <w:r w:rsidR="00597087">
        <w:rPr>
          <w:rFonts w:asciiTheme="minorHAnsi" w:hAnsiTheme="minorHAnsi"/>
          <w:szCs w:val="22"/>
        </w:rPr>
        <w:t xml:space="preserve">a </w:t>
      </w:r>
      <w:r w:rsidR="00BC54FF">
        <w:rPr>
          <w:rFonts w:asciiTheme="minorHAnsi" w:hAnsiTheme="minorHAnsi"/>
          <w:szCs w:val="22"/>
        </w:rPr>
        <w:t xml:space="preserve">concerted effort to </w:t>
      </w:r>
      <w:r w:rsidR="009E289B">
        <w:rPr>
          <w:rFonts w:asciiTheme="minorHAnsi" w:hAnsiTheme="minorHAnsi"/>
          <w:szCs w:val="22"/>
        </w:rPr>
        <w:t>improv</w:t>
      </w:r>
      <w:r w:rsidR="00BC54FF">
        <w:rPr>
          <w:rFonts w:asciiTheme="minorHAnsi" w:hAnsiTheme="minorHAnsi"/>
          <w:szCs w:val="22"/>
        </w:rPr>
        <w:t>e</w:t>
      </w:r>
      <w:r w:rsidR="009E289B">
        <w:rPr>
          <w:rFonts w:asciiTheme="minorHAnsi" w:hAnsiTheme="minorHAnsi"/>
          <w:szCs w:val="22"/>
        </w:rPr>
        <w:t xml:space="preserve"> </w:t>
      </w:r>
      <w:r w:rsidR="00F52F60" w:rsidRPr="009944E9">
        <w:rPr>
          <w:rFonts w:asciiTheme="minorHAnsi" w:hAnsiTheme="minorHAnsi"/>
          <w:szCs w:val="22"/>
        </w:rPr>
        <w:t xml:space="preserve">the way our regulatory frameworks are designed, administered and maintained </w:t>
      </w:r>
      <w:r>
        <w:rPr>
          <w:rFonts w:asciiTheme="minorHAnsi" w:hAnsiTheme="minorHAnsi"/>
          <w:szCs w:val="22"/>
        </w:rPr>
        <w:t xml:space="preserve">is </w:t>
      </w:r>
      <w:r w:rsidR="00EB68F4">
        <w:rPr>
          <w:rFonts w:asciiTheme="minorHAnsi" w:hAnsiTheme="minorHAnsi"/>
          <w:szCs w:val="22"/>
        </w:rPr>
        <w:t>vitally</w:t>
      </w:r>
      <w:r w:rsidR="00F52F60" w:rsidRPr="009944E9">
        <w:rPr>
          <w:rFonts w:asciiTheme="minorHAnsi" w:hAnsiTheme="minorHAnsi"/>
          <w:szCs w:val="22"/>
        </w:rPr>
        <w:t xml:space="preserve"> important to our economy.</w:t>
      </w:r>
      <w:r w:rsidR="00597087">
        <w:rPr>
          <w:rFonts w:asciiTheme="minorHAnsi" w:hAnsiTheme="minorHAnsi"/>
          <w:szCs w:val="22"/>
        </w:rPr>
        <w:t xml:space="preserve"> </w:t>
      </w:r>
      <w:r w:rsidR="001932C7">
        <w:rPr>
          <w:rFonts w:asciiTheme="minorHAnsi" w:hAnsiTheme="minorHAnsi"/>
          <w:szCs w:val="22"/>
        </w:rPr>
        <w:t xml:space="preserve"> </w:t>
      </w:r>
      <w:r>
        <w:rPr>
          <w:rFonts w:asciiTheme="minorHAnsi" w:hAnsiTheme="minorHAnsi"/>
          <w:szCs w:val="22"/>
        </w:rPr>
        <w:t xml:space="preserve">Since </w:t>
      </w:r>
      <w:r w:rsidR="00BC54FF">
        <w:rPr>
          <w:rFonts w:asciiTheme="minorHAnsi" w:hAnsiTheme="minorHAnsi"/>
          <w:szCs w:val="22"/>
        </w:rPr>
        <w:t xml:space="preserve">the Treasury portfolio has responsibility for the lion’s share of regulatory compliance costs </w:t>
      </w:r>
      <w:r>
        <w:rPr>
          <w:rFonts w:asciiTheme="minorHAnsi" w:hAnsiTheme="minorHAnsi"/>
          <w:szCs w:val="22"/>
        </w:rPr>
        <w:t xml:space="preserve">the </w:t>
      </w:r>
      <w:r w:rsidR="00BC54FF">
        <w:rPr>
          <w:rFonts w:asciiTheme="minorHAnsi" w:hAnsiTheme="minorHAnsi"/>
          <w:szCs w:val="22"/>
        </w:rPr>
        <w:t xml:space="preserve">Treasury should </w:t>
      </w:r>
      <w:r w:rsidR="009851AB">
        <w:rPr>
          <w:rFonts w:asciiTheme="minorHAnsi" w:hAnsiTheme="minorHAnsi"/>
          <w:szCs w:val="22"/>
        </w:rPr>
        <w:t>set the example, but every Department and agency must do its part</w:t>
      </w:r>
      <w:r w:rsidR="00BC54FF">
        <w:rPr>
          <w:rFonts w:asciiTheme="minorHAnsi" w:hAnsiTheme="minorHAnsi"/>
          <w:szCs w:val="22"/>
        </w:rPr>
        <w:t>.</w:t>
      </w:r>
    </w:p>
    <w:p w:rsidR="00F52F60" w:rsidRDefault="009E289B" w:rsidP="00F52F60">
      <w:pPr>
        <w:pStyle w:val="Heading2"/>
      </w:pPr>
      <w:r>
        <w:lastRenderedPageBreak/>
        <w:t xml:space="preserve">the </w:t>
      </w:r>
      <w:r w:rsidR="00F52F60">
        <w:t>Current state of regulatory frameworks</w:t>
      </w:r>
    </w:p>
    <w:p w:rsidR="00F52F60" w:rsidRPr="00607F78" w:rsidRDefault="00E3622C">
      <w:pPr>
        <w:spacing w:after="120" w:line="276" w:lineRule="auto"/>
        <w:rPr>
          <w:rFonts w:asciiTheme="minorHAnsi" w:hAnsiTheme="minorHAnsi"/>
          <w:szCs w:val="22"/>
        </w:rPr>
      </w:pPr>
      <w:r>
        <w:rPr>
          <w:rFonts w:asciiTheme="minorHAnsi" w:hAnsiTheme="minorHAnsi"/>
          <w:szCs w:val="22"/>
        </w:rPr>
        <w:t>While Australia</w:t>
      </w:r>
      <w:r w:rsidR="005F6A8E">
        <w:rPr>
          <w:rFonts w:asciiTheme="minorHAnsi" w:hAnsiTheme="minorHAnsi"/>
          <w:szCs w:val="22"/>
        </w:rPr>
        <w:t>’s system of vetting new regulation</w:t>
      </w:r>
      <w:r>
        <w:rPr>
          <w:rFonts w:asciiTheme="minorHAnsi" w:hAnsiTheme="minorHAnsi"/>
          <w:szCs w:val="22"/>
        </w:rPr>
        <w:t xml:space="preserve"> </w:t>
      </w:r>
      <w:r w:rsidR="005F6A8E">
        <w:rPr>
          <w:rFonts w:asciiTheme="minorHAnsi" w:hAnsiTheme="minorHAnsi"/>
          <w:szCs w:val="22"/>
        </w:rPr>
        <w:t>compares favourably with international best practice</w:t>
      </w:r>
      <w:r w:rsidR="009851AB">
        <w:rPr>
          <w:rStyle w:val="FootnoteReference"/>
          <w:rFonts w:asciiTheme="minorHAnsi" w:hAnsiTheme="minorHAnsi"/>
          <w:szCs w:val="22"/>
        </w:rPr>
        <w:footnoteReference w:id="4"/>
      </w:r>
      <w:r>
        <w:rPr>
          <w:rFonts w:asciiTheme="minorHAnsi" w:hAnsiTheme="minorHAnsi"/>
          <w:szCs w:val="22"/>
        </w:rPr>
        <w:t xml:space="preserve">, </w:t>
      </w:r>
      <w:r w:rsidR="00E627CC">
        <w:rPr>
          <w:rFonts w:asciiTheme="minorHAnsi" w:hAnsiTheme="minorHAnsi"/>
          <w:szCs w:val="22"/>
        </w:rPr>
        <w:t>the</w:t>
      </w:r>
      <w:r w:rsidR="00756861">
        <w:rPr>
          <w:rFonts w:asciiTheme="minorHAnsi" w:hAnsiTheme="minorHAnsi"/>
          <w:szCs w:val="22"/>
        </w:rPr>
        <w:t xml:space="preserve"> </w:t>
      </w:r>
      <w:r w:rsidR="00F52F60" w:rsidRPr="00607F78">
        <w:rPr>
          <w:rFonts w:asciiTheme="minorHAnsi" w:hAnsiTheme="minorHAnsi"/>
          <w:szCs w:val="22"/>
        </w:rPr>
        <w:t>focus</w:t>
      </w:r>
      <w:r w:rsidR="00BC54FF">
        <w:rPr>
          <w:rFonts w:asciiTheme="minorHAnsi" w:hAnsiTheme="minorHAnsi"/>
          <w:szCs w:val="22"/>
        </w:rPr>
        <w:t xml:space="preserve"> </w:t>
      </w:r>
      <w:r w:rsidR="00F52F60" w:rsidRPr="00607F78">
        <w:rPr>
          <w:rFonts w:asciiTheme="minorHAnsi" w:hAnsiTheme="minorHAnsi"/>
          <w:szCs w:val="22"/>
        </w:rPr>
        <w:t xml:space="preserve">on new regulations </w:t>
      </w:r>
      <w:r w:rsidR="00756861">
        <w:rPr>
          <w:rFonts w:asciiTheme="minorHAnsi" w:hAnsiTheme="minorHAnsi"/>
          <w:szCs w:val="22"/>
        </w:rPr>
        <w:t>(rather than</w:t>
      </w:r>
      <w:r w:rsidR="00F52F60" w:rsidRPr="00607F78">
        <w:rPr>
          <w:rFonts w:asciiTheme="minorHAnsi" w:hAnsiTheme="minorHAnsi"/>
          <w:szCs w:val="22"/>
        </w:rPr>
        <w:t xml:space="preserve"> existing ones</w:t>
      </w:r>
      <w:r w:rsidR="00756861">
        <w:rPr>
          <w:rFonts w:asciiTheme="minorHAnsi" w:hAnsiTheme="minorHAnsi"/>
          <w:szCs w:val="22"/>
        </w:rPr>
        <w:t>)</w:t>
      </w:r>
      <w:r w:rsidR="00F52F60" w:rsidRPr="00607F78">
        <w:rPr>
          <w:rFonts w:asciiTheme="minorHAnsi" w:hAnsiTheme="minorHAnsi"/>
          <w:szCs w:val="22"/>
        </w:rPr>
        <w:t xml:space="preserve"> </w:t>
      </w:r>
      <w:r w:rsidR="005F6A8E">
        <w:rPr>
          <w:rFonts w:asciiTheme="minorHAnsi" w:hAnsiTheme="minorHAnsi"/>
          <w:szCs w:val="22"/>
        </w:rPr>
        <w:t>misses half the problem. Most</w:t>
      </w:r>
      <w:r w:rsidR="00F52F60" w:rsidRPr="00607F78">
        <w:rPr>
          <w:rFonts w:asciiTheme="minorHAnsi" w:hAnsiTheme="minorHAnsi"/>
          <w:szCs w:val="22"/>
        </w:rPr>
        <w:t xml:space="preserve"> of </w:t>
      </w:r>
      <w:r w:rsidR="005F6A8E">
        <w:rPr>
          <w:rFonts w:asciiTheme="minorHAnsi" w:hAnsiTheme="minorHAnsi"/>
          <w:szCs w:val="22"/>
        </w:rPr>
        <w:t>the</w:t>
      </w:r>
      <w:r w:rsidR="005F6A8E" w:rsidRPr="00607F78">
        <w:rPr>
          <w:rFonts w:asciiTheme="minorHAnsi" w:hAnsiTheme="minorHAnsi"/>
          <w:szCs w:val="22"/>
        </w:rPr>
        <w:t xml:space="preserve"> </w:t>
      </w:r>
      <w:r w:rsidR="00F52F60" w:rsidRPr="00607F78">
        <w:rPr>
          <w:rFonts w:asciiTheme="minorHAnsi" w:hAnsiTheme="minorHAnsi"/>
          <w:szCs w:val="22"/>
        </w:rPr>
        <w:t xml:space="preserve">attention in the </w:t>
      </w:r>
      <w:bookmarkStart w:id="0" w:name="_GoBack"/>
      <w:bookmarkEnd w:id="0"/>
      <w:r w:rsidR="00F52F60" w:rsidRPr="00607F78">
        <w:rPr>
          <w:rFonts w:asciiTheme="minorHAnsi" w:hAnsiTheme="minorHAnsi"/>
          <w:szCs w:val="22"/>
        </w:rPr>
        <w:t xml:space="preserve">history of regulatory reform in Australia has been on managing the </w:t>
      </w:r>
      <w:r w:rsidR="00BA6AC5" w:rsidRPr="00607F78">
        <w:rPr>
          <w:rFonts w:asciiTheme="minorHAnsi" w:hAnsiTheme="minorHAnsi"/>
          <w:i/>
          <w:szCs w:val="22"/>
        </w:rPr>
        <w:t>flow</w:t>
      </w:r>
      <w:r w:rsidR="00BA6AC5" w:rsidRPr="00607F78">
        <w:rPr>
          <w:rFonts w:asciiTheme="minorHAnsi" w:hAnsiTheme="minorHAnsi"/>
          <w:szCs w:val="22"/>
        </w:rPr>
        <w:t xml:space="preserve"> of new regulations</w:t>
      </w:r>
      <w:r w:rsidR="005F6A8E">
        <w:rPr>
          <w:rFonts w:asciiTheme="minorHAnsi" w:hAnsiTheme="minorHAnsi"/>
          <w:szCs w:val="22"/>
        </w:rPr>
        <w:t>,</w:t>
      </w:r>
      <w:r w:rsidR="00F52F60" w:rsidRPr="00607F78">
        <w:rPr>
          <w:rFonts w:asciiTheme="minorHAnsi" w:hAnsiTheme="minorHAnsi"/>
          <w:szCs w:val="22"/>
        </w:rPr>
        <w:t xml:space="preserve"> </w:t>
      </w:r>
      <w:r w:rsidR="005F6A8E">
        <w:rPr>
          <w:rFonts w:asciiTheme="minorHAnsi" w:hAnsiTheme="minorHAnsi"/>
          <w:szCs w:val="22"/>
        </w:rPr>
        <w:t>but</w:t>
      </w:r>
      <w:r w:rsidR="005F6A8E" w:rsidRPr="00607F78">
        <w:rPr>
          <w:rFonts w:asciiTheme="minorHAnsi" w:hAnsiTheme="minorHAnsi"/>
          <w:szCs w:val="22"/>
        </w:rPr>
        <w:t xml:space="preserve"> </w:t>
      </w:r>
      <w:r w:rsidR="00BC54FF">
        <w:rPr>
          <w:rFonts w:asciiTheme="minorHAnsi" w:hAnsiTheme="minorHAnsi"/>
          <w:szCs w:val="22"/>
        </w:rPr>
        <w:t xml:space="preserve">very little on </w:t>
      </w:r>
      <w:r w:rsidR="00BA6AC5" w:rsidRPr="00607F78">
        <w:rPr>
          <w:rFonts w:asciiTheme="minorHAnsi" w:hAnsiTheme="minorHAnsi"/>
          <w:szCs w:val="22"/>
        </w:rPr>
        <w:t>ensur</w:t>
      </w:r>
      <w:r w:rsidR="00BA6AC5">
        <w:rPr>
          <w:rFonts w:asciiTheme="minorHAnsi" w:hAnsiTheme="minorHAnsi"/>
          <w:szCs w:val="22"/>
        </w:rPr>
        <w:t xml:space="preserve">ing </w:t>
      </w:r>
      <w:r w:rsidR="00BA6AC5" w:rsidRPr="00607F78">
        <w:rPr>
          <w:rFonts w:asciiTheme="minorHAnsi" w:hAnsiTheme="minorHAnsi"/>
          <w:szCs w:val="22"/>
        </w:rPr>
        <w:t xml:space="preserve">the </w:t>
      </w:r>
      <w:r w:rsidR="00BA6AC5">
        <w:rPr>
          <w:rFonts w:asciiTheme="minorHAnsi" w:hAnsiTheme="minorHAnsi"/>
          <w:szCs w:val="22"/>
        </w:rPr>
        <w:t xml:space="preserve">quality and </w:t>
      </w:r>
      <w:r w:rsidR="00BA6AC5" w:rsidRPr="00607F78">
        <w:rPr>
          <w:rFonts w:asciiTheme="minorHAnsi" w:hAnsiTheme="minorHAnsi"/>
          <w:szCs w:val="22"/>
        </w:rPr>
        <w:t xml:space="preserve">efficacy of the </w:t>
      </w:r>
      <w:r w:rsidR="00BA6AC5" w:rsidRPr="00607F78">
        <w:rPr>
          <w:rFonts w:asciiTheme="minorHAnsi" w:hAnsiTheme="minorHAnsi"/>
          <w:i/>
          <w:szCs w:val="22"/>
        </w:rPr>
        <w:t>stock</w:t>
      </w:r>
      <w:r w:rsidR="00BA6AC5" w:rsidRPr="00607F78">
        <w:rPr>
          <w:rFonts w:asciiTheme="minorHAnsi" w:hAnsiTheme="minorHAnsi"/>
          <w:szCs w:val="22"/>
        </w:rPr>
        <w:t xml:space="preserve"> of existing regulations</w:t>
      </w:r>
      <w:r w:rsidR="00F52F60" w:rsidRPr="00607F78">
        <w:t>.</w:t>
      </w:r>
      <w:r w:rsidR="000F232A">
        <w:t xml:space="preserve"> </w:t>
      </w:r>
      <w:r w:rsidR="00F52F60" w:rsidRPr="00607F78">
        <w:t xml:space="preserve"> </w:t>
      </w:r>
      <w:r w:rsidR="00F52F60" w:rsidRPr="00607F78">
        <w:rPr>
          <w:rFonts w:asciiTheme="minorHAnsi" w:hAnsiTheme="minorHAnsi"/>
          <w:szCs w:val="22"/>
        </w:rPr>
        <w:t xml:space="preserve">To use </w:t>
      </w:r>
      <w:r w:rsidR="005F6A8E">
        <w:rPr>
          <w:rFonts w:asciiTheme="minorHAnsi" w:hAnsiTheme="minorHAnsi"/>
          <w:szCs w:val="22"/>
        </w:rPr>
        <w:t>an</w:t>
      </w:r>
      <w:r w:rsidR="005F6A8E" w:rsidRPr="00607F78">
        <w:rPr>
          <w:rFonts w:asciiTheme="minorHAnsi" w:hAnsiTheme="minorHAnsi"/>
          <w:szCs w:val="22"/>
        </w:rPr>
        <w:t xml:space="preserve"> </w:t>
      </w:r>
      <w:r w:rsidR="00F52F60" w:rsidRPr="00607F78">
        <w:rPr>
          <w:rFonts w:asciiTheme="minorHAnsi" w:hAnsiTheme="minorHAnsi"/>
          <w:szCs w:val="22"/>
        </w:rPr>
        <w:t xml:space="preserve">old analogy, </w:t>
      </w:r>
      <w:r w:rsidR="00494952">
        <w:rPr>
          <w:rFonts w:asciiTheme="minorHAnsi" w:hAnsiTheme="minorHAnsi"/>
          <w:szCs w:val="22"/>
        </w:rPr>
        <w:t>reducing the</w:t>
      </w:r>
      <w:r w:rsidR="00F52F60" w:rsidRPr="00607F78">
        <w:rPr>
          <w:rFonts w:asciiTheme="minorHAnsi" w:hAnsiTheme="minorHAnsi"/>
          <w:szCs w:val="22"/>
        </w:rPr>
        <w:t xml:space="preserve"> flow</w:t>
      </w:r>
      <w:r w:rsidR="00494952">
        <w:rPr>
          <w:rFonts w:asciiTheme="minorHAnsi" w:hAnsiTheme="minorHAnsi"/>
          <w:szCs w:val="22"/>
        </w:rPr>
        <w:t xml:space="preserve"> of</w:t>
      </w:r>
      <w:r w:rsidR="00F52F60" w:rsidRPr="00607F78">
        <w:rPr>
          <w:rFonts w:asciiTheme="minorHAnsi" w:hAnsiTheme="minorHAnsi"/>
          <w:szCs w:val="22"/>
        </w:rPr>
        <w:t xml:space="preserve"> </w:t>
      </w:r>
      <w:r w:rsidR="00494952">
        <w:rPr>
          <w:rFonts w:asciiTheme="minorHAnsi" w:hAnsiTheme="minorHAnsi"/>
          <w:szCs w:val="22"/>
        </w:rPr>
        <w:t>pollutants</w:t>
      </w:r>
      <w:r w:rsidR="00494952" w:rsidRPr="00607F78">
        <w:rPr>
          <w:rFonts w:asciiTheme="minorHAnsi" w:hAnsiTheme="minorHAnsi"/>
          <w:szCs w:val="22"/>
        </w:rPr>
        <w:t xml:space="preserve"> </w:t>
      </w:r>
      <w:r w:rsidR="00F52F60" w:rsidRPr="00607F78">
        <w:rPr>
          <w:rFonts w:asciiTheme="minorHAnsi" w:hAnsiTheme="minorHAnsi"/>
          <w:szCs w:val="22"/>
        </w:rPr>
        <w:t xml:space="preserve">coming </w:t>
      </w:r>
      <w:r>
        <w:rPr>
          <w:rFonts w:asciiTheme="minorHAnsi" w:hAnsiTheme="minorHAnsi"/>
          <w:szCs w:val="22"/>
        </w:rPr>
        <w:t xml:space="preserve">into the lake </w:t>
      </w:r>
      <w:r w:rsidR="00F52F60" w:rsidRPr="00607F78">
        <w:rPr>
          <w:rFonts w:asciiTheme="minorHAnsi" w:hAnsiTheme="minorHAnsi"/>
          <w:szCs w:val="22"/>
        </w:rPr>
        <w:t xml:space="preserve">from a </w:t>
      </w:r>
      <w:r w:rsidR="00494952">
        <w:rPr>
          <w:rFonts w:asciiTheme="minorHAnsi" w:hAnsiTheme="minorHAnsi"/>
          <w:szCs w:val="22"/>
        </w:rPr>
        <w:t>tainted</w:t>
      </w:r>
      <w:r w:rsidR="00F52F60" w:rsidRPr="00607F78">
        <w:rPr>
          <w:rFonts w:asciiTheme="minorHAnsi" w:hAnsiTheme="minorHAnsi"/>
          <w:szCs w:val="22"/>
        </w:rPr>
        <w:t xml:space="preserve"> river</w:t>
      </w:r>
      <w:r w:rsidR="005F6A8E">
        <w:rPr>
          <w:rFonts w:asciiTheme="minorHAnsi" w:hAnsiTheme="minorHAnsi"/>
          <w:szCs w:val="22"/>
        </w:rPr>
        <w:t xml:space="preserve"> without also </w:t>
      </w:r>
      <w:r w:rsidR="00F52F60" w:rsidRPr="00607F78">
        <w:rPr>
          <w:rFonts w:asciiTheme="minorHAnsi" w:hAnsiTheme="minorHAnsi"/>
          <w:szCs w:val="22"/>
        </w:rPr>
        <w:t>tak</w:t>
      </w:r>
      <w:r w:rsidR="00494952">
        <w:rPr>
          <w:rFonts w:asciiTheme="minorHAnsi" w:hAnsiTheme="minorHAnsi"/>
          <w:szCs w:val="22"/>
        </w:rPr>
        <w:t>ing</w:t>
      </w:r>
      <w:r w:rsidR="00F52F60" w:rsidRPr="00607F78">
        <w:rPr>
          <w:rFonts w:asciiTheme="minorHAnsi" w:hAnsiTheme="minorHAnsi"/>
          <w:szCs w:val="22"/>
        </w:rPr>
        <w:t xml:space="preserve"> action to clean the lake</w:t>
      </w:r>
      <w:r>
        <w:rPr>
          <w:rFonts w:asciiTheme="minorHAnsi" w:hAnsiTheme="minorHAnsi"/>
          <w:szCs w:val="22"/>
        </w:rPr>
        <w:t xml:space="preserve"> itself</w:t>
      </w:r>
      <w:r w:rsidR="005F6A8E">
        <w:rPr>
          <w:rFonts w:asciiTheme="minorHAnsi" w:hAnsiTheme="minorHAnsi"/>
          <w:szCs w:val="22"/>
        </w:rPr>
        <w:t xml:space="preserve"> means the</w:t>
      </w:r>
      <w:r w:rsidR="00F52F60" w:rsidRPr="00607F78">
        <w:rPr>
          <w:rFonts w:asciiTheme="minorHAnsi" w:hAnsiTheme="minorHAnsi"/>
          <w:szCs w:val="22"/>
        </w:rPr>
        <w:t xml:space="preserve"> </w:t>
      </w:r>
      <w:r w:rsidR="005F6A8E" w:rsidRPr="00607F78">
        <w:rPr>
          <w:rFonts w:asciiTheme="minorHAnsi" w:hAnsiTheme="minorHAnsi"/>
          <w:szCs w:val="22"/>
        </w:rPr>
        <w:t xml:space="preserve">water </w:t>
      </w:r>
      <w:r w:rsidR="005F6A8E">
        <w:rPr>
          <w:rFonts w:asciiTheme="minorHAnsi" w:hAnsiTheme="minorHAnsi"/>
          <w:szCs w:val="22"/>
        </w:rPr>
        <w:t xml:space="preserve">stays </w:t>
      </w:r>
      <w:r w:rsidR="00F52F60" w:rsidRPr="00607F78">
        <w:rPr>
          <w:rFonts w:asciiTheme="minorHAnsi" w:hAnsiTheme="minorHAnsi"/>
          <w:szCs w:val="22"/>
        </w:rPr>
        <w:t>dirty for a very long time.</w:t>
      </w:r>
    </w:p>
    <w:p w:rsidR="00F52F60" w:rsidRPr="009944E9" w:rsidRDefault="00F52F60" w:rsidP="00F52F60">
      <w:pPr>
        <w:spacing w:after="120" w:line="276" w:lineRule="auto"/>
        <w:rPr>
          <w:rFonts w:asciiTheme="minorHAnsi" w:hAnsiTheme="minorHAnsi"/>
          <w:szCs w:val="22"/>
        </w:rPr>
      </w:pPr>
      <w:r w:rsidRPr="00607F78">
        <w:rPr>
          <w:rFonts w:asciiTheme="minorHAnsi" w:hAnsiTheme="minorHAnsi"/>
          <w:szCs w:val="22"/>
        </w:rPr>
        <w:t xml:space="preserve">To get a sense of the relative importance of the flow and the stock of regulatory burden: the absolute value of the </w:t>
      </w:r>
      <w:r w:rsidR="00C5661D">
        <w:rPr>
          <w:rFonts w:asciiTheme="minorHAnsi" w:hAnsiTheme="minorHAnsi"/>
          <w:szCs w:val="22"/>
        </w:rPr>
        <w:t xml:space="preserve">reported </w:t>
      </w:r>
      <w:r w:rsidRPr="00607F78">
        <w:rPr>
          <w:rFonts w:asciiTheme="minorHAnsi" w:hAnsiTheme="minorHAnsi"/>
          <w:szCs w:val="22"/>
        </w:rPr>
        <w:t xml:space="preserve">flow (increases and decreases added together) of new regulation in </w:t>
      </w:r>
      <w:r w:rsidR="00B81321">
        <w:rPr>
          <w:rFonts w:asciiTheme="minorHAnsi" w:hAnsiTheme="minorHAnsi"/>
          <w:szCs w:val="22"/>
        </w:rPr>
        <w:t>the 18 months between 1 </w:t>
      </w:r>
      <w:r w:rsidR="00D52B30">
        <w:rPr>
          <w:rFonts w:asciiTheme="minorHAnsi" w:hAnsiTheme="minorHAnsi"/>
          <w:szCs w:val="22"/>
        </w:rPr>
        <w:t>January 2016 and 30 June 2017</w:t>
      </w:r>
      <w:r w:rsidRPr="00607F78">
        <w:rPr>
          <w:rFonts w:asciiTheme="minorHAnsi" w:hAnsiTheme="minorHAnsi"/>
          <w:szCs w:val="22"/>
        </w:rPr>
        <w:t xml:space="preserve"> was</w:t>
      </w:r>
      <w:r w:rsidRPr="009944E9">
        <w:rPr>
          <w:rFonts w:asciiTheme="minorHAnsi" w:hAnsiTheme="minorHAnsi"/>
          <w:szCs w:val="22"/>
        </w:rPr>
        <w:t xml:space="preserve"> $</w:t>
      </w:r>
      <w:r w:rsidR="00D52B30">
        <w:rPr>
          <w:rFonts w:asciiTheme="minorHAnsi" w:hAnsiTheme="minorHAnsi"/>
          <w:szCs w:val="22"/>
        </w:rPr>
        <w:t>1</w:t>
      </w:r>
      <w:r w:rsidRPr="009944E9">
        <w:rPr>
          <w:rFonts w:asciiTheme="minorHAnsi" w:hAnsiTheme="minorHAnsi"/>
          <w:szCs w:val="22"/>
        </w:rPr>
        <w:t>.</w:t>
      </w:r>
      <w:r w:rsidR="00D52B30">
        <w:rPr>
          <w:rFonts w:asciiTheme="minorHAnsi" w:hAnsiTheme="minorHAnsi"/>
          <w:szCs w:val="22"/>
        </w:rPr>
        <w:t>1</w:t>
      </w:r>
      <w:r w:rsidRPr="009944E9">
        <w:rPr>
          <w:rFonts w:asciiTheme="minorHAnsi" w:hAnsiTheme="minorHAnsi"/>
          <w:szCs w:val="22"/>
        </w:rPr>
        <w:t xml:space="preserve"> billion</w:t>
      </w:r>
      <w:r w:rsidR="00D52B30">
        <w:rPr>
          <w:rStyle w:val="FootnoteReference"/>
          <w:rFonts w:asciiTheme="minorHAnsi" w:hAnsiTheme="minorHAnsi"/>
          <w:szCs w:val="22"/>
        </w:rPr>
        <w:footnoteReference w:id="5"/>
      </w:r>
      <w:r w:rsidR="00D73DAC">
        <w:rPr>
          <w:rFonts w:asciiTheme="minorHAnsi" w:hAnsiTheme="minorHAnsi"/>
          <w:szCs w:val="22"/>
        </w:rPr>
        <w:t>.</w:t>
      </w:r>
      <w:r w:rsidR="003E2833">
        <w:rPr>
          <w:rFonts w:asciiTheme="minorHAnsi" w:hAnsiTheme="minorHAnsi"/>
          <w:szCs w:val="22"/>
        </w:rPr>
        <w:t xml:space="preserve"> This compares with the annualised cost of the stock being around $65 billion.</w:t>
      </w:r>
    </w:p>
    <w:p w:rsidR="00F52F60" w:rsidRPr="009944E9" w:rsidRDefault="00F52F60" w:rsidP="003E2833">
      <w:pPr>
        <w:spacing w:after="120" w:line="276" w:lineRule="auto"/>
        <w:rPr>
          <w:rFonts w:asciiTheme="minorHAnsi" w:hAnsiTheme="minorHAnsi"/>
          <w:szCs w:val="22"/>
        </w:rPr>
      </w:pPr>
      <w:r w:rsidRPr="009944E9">
        <w:rPr>
          <w:rFonts w:asciiTheme="minorHAnsi" w:hAnsiTheme="minorHAnsi"/>
          <w:szCs w:val="22"/>
        </w:rPr>
        <w:t>A number of recent reviews</w:t>
      </w:r>
      <w:r w:rsidR="00E472DF">
        <w:rPr>
          <w:rStyle w:val="FootnoteReference"/>
          <w:rFonts w:asciiTheme="minorHAnsi" w:hAnsiTheme="minorHAnsi"/>
          <w:szCs w:val="22"/>
        </w:rPr>
        <w:footnoteReference w:id="6"/>
      </w:r>
      <w:r w:rsidRPr="009944E9">
        <w:rPr>
          <w:rFonts w:asciiTheme="minorHAnsi" w:hAnsiTheme="minorHAnsi"/>
          <w:szCs w:val="22"/>
        </w:rPr>
        <w:t xml:space="preserve"> have pointed to design features of regulatory </w:t>
      </w:r>
      <w:r w:rsidR="00E3622C">
        <w:rPr>
          <w:rFonts w:asciiTheme="minorHAnsi" w:hAnsiTheme="minorHAnsi"/>
          <w:szCs w:val="22"/>
        </w:rPr>
        <w:t xml:space="preserve">frameworks </w:t>
      </w:r>
      <w:r w:rsidRPr="009944E9">
        <w:rPr>
          <w:rFonts w:asciiTheme="minorHAnsi" w:hAnsiTheme="minorHAnsi"/>
          <w:szCs w:val="22"/>
        </w:rPr>
        <w:t xml:space="preserve">that, </w:t>
      </w:r>
      <w:r w:rsidR="00062242">
        <w:rPr>
          <w:rFonts w:asciiTheme="minorHAnsi" w:hAnsiTheme="minorHAnsi"/>
          <w:szCs w:val="22"/>
        </w:rPr>
        <w:t>in the light of experience, can be significantly improved.</w:t>
      </w:r>
      <w:r w:rsidR="002B41CD">
        <w:rPr>
          <w:rFonts w:asciiTheme="minorHAnsi" w:hAnsiTheme="minorHAnsi"/>
          <w:szCs w:val="22"/>
        </w:rPr>
        <w:t xml:space="preserve"> No rule-maker</w:t>
      </w:r>
      <w:r w:rsidR="002B41CD" w:rsidRPr="009944E9">
        <w:rPr>
          <w:rFonts w:asciiTheme="minorHAnsi" w:hAnsiTheme="minorHAnsi"/>
          <w:szCs w:val="22"/>
        </w:rPr>
        <w:t xml:space="preserve"> (including the Parliament)</w:t>
      </w:r>
      <w:r w:rsidR="002B41CD">
        <w:rPr>
          <w:rFonts w:asciiTheme="minorHAnsi" w:hAnsiTheme="minorHAnsi"/>
          <w:szCs w:val="22"/>
        </w:rPr>
        <w:t xml:space="preserve"> can predict how a set of rules will operate in all possible situations into the indefinite future.</w:t>
      </w:r>
      <w:r w:rsidRPr="009944E9">
        <w:rPr>
          <w:rFonts w:asciiTheme="minorHAnsi" w:hAnsiTheme="minorHAnsi"/>
          <w:szCs w:val="22"/>
        </w:rPr>
        <w:t xml:space="preserve">  </w:t>
      </w:r>
      <w:r w:rsidR="009755F4">
        <w:rPr>
          <w:rFonts w:asciiTheme="minorHAnsi" w:hAnsiTheme="minorHAnsi"/>
          <w:szCs w:val="22"/>
        </w:rPr>
        <w:t xml:space="preserve">Just as </w:t>
      </w:r>
      <w:r w:rsidR="003E2833">
        <w:rPr>
          <w:rFonts w:asciiTheme="minorHAnsi" w:hAnsiTheme="minorHAnsi"/>
          <w:szCs w:val="22"/>
        </w:rPr>
        <w:t xml:space="preserve">the proverbial frog in the pot </w:t>
      </w:r>
      <w:r w:rsidR="009755F4">
        <w:rPr>
          <w:rFonts w:asciiTheme="minorHAnsi" w:hAnsiTheme="minorHAnsi"/>
          <w:szCs w:val="22"/>
        </w:rPr>
        <w:t xml:space="preserve">of water </w:t>
      </w:r>
      <w:r w:rsidR="003E2833">
        <w:rPr>
          <w:rFonts w:asciiTheme="minorHAnsi" w:hAnsiTheme="minorHAnsi"/>
          <w:szCs w:val="22"/>
        </w:rPr>
        <w:t>being slowly brought to boil</w:t>
      </w:r>
      <w:r w:rsidR="009755F4">
        <w:rPr>
          <w:rFonts w:asciiTheme="minorHAnsi" w:hAnsiTheme="minorHAnsi"/>
          <w:szCs w:val="22"/>
        </w:rPr>
        <w:t xml:space="preserve"> is unaware of its worsening condition</w:t>
      </w:r>
      <w:r w:rsidR="003E2833">
        <w:rPr>
          <w:rFonts w:asciiTheme="minorHAnsi" w:hAnsiTheme="minorHAnsi"/>
          <w:szCs w:val="22"/>
        </w:rPr>
        <w:t>, the decline in effectiveness of r</w:t>
      </w:r>
      <w:r w:rsidR="003E2833" w:rsidRPr="00607F78">
        <w:rPr>
          <w:rFonts w:asciiTheme="minorHAnsi" w:hAnsiTheme="minorHAnsi"/>
          <w:szCs w:val="22"/>
        </w:rPr>
        <w:t xml:space="preserve">egulations </w:t>
      </w:r>
      <w:r w:rsidR="003E2833">
        <w:rPr>
          <w:rFonts w:asciiTheme="minorHAnsi" w:hAnsiTheme="minorHAnsi"/>
          <w:szCs w:val="22"/>
        </w:rPr>
        <w:t>tends to go unnoticed</w:t>
      </w:r>
      <w:r w:rsidR="00494952">
        <w:rPr>
          <w:rFonts w:asciiTheme="minorHAnsi" w:hAnsiTheme="minorHAnsi"/>
          <w:szCs w:val="22"/>
        </w:rPr>
        <w:t xml:space="preserve"> until it is too late</w:t>
      </w:r>
      <w:r w:rsidR="003E2833">
        <w:rPr>
          <w:rFonts w:asciiTheme="minorHAnsi" w:hAnsiTheme="minorHAnsi"/>
          <w:szCs w:val="22"/>
        </w:rPr>
        <w:t>.</w:t>
      </w:r>
      <w:r w:rsidR="00494952">
        <w:rPr>
          <w:rFonts w:asciiTheme="minorHAnsi" w:hAnsiTheme="minorHAnsi"/>
          <w:szCs w:val="22"/>
        </w:rPr>
        <w:t xml:space="preserve"> The deterioration itself </w:t>
      </w:r>
      <w:r w:rsidR="003E2833">
        <w:rPr>
          <w:rFonts w:asciiTheme="minorHAnsi" w:hAnsiTheme="minorHAnsi"/>
          <w:szCs w:val="22"/>
        </w:rPr>
        <w:t>is no</w:t>
      </w:r>
      <w:r w:rsidR="009755F4">
        <w:rPr>
          <w:rFonts w:asciiTheme="minorHAnsi" w:hAnsiTheme="minorHAnsi"/>
          <w:szCs w:val="22"/>
        </w:rPr>
        <w:t>-</w:t>
      </w:r>
      <w:r w:rsidR="003E2833">
        <w:rPr>
          <w:rFonts w:asciiTheme="minorHAnsi" w:hAnsiTheme="minorHAnsi"/>
          <w:szCs w:val="22"/>
        </w:rPr>
        <w:t xml:space="preserve">one’s fault. </w:t>
      </w:r>
      <w:r w:rsidR="000F232A">
        <w:rPr>
          <w:rFonts w:asciiTheme="minorHAnsi" w:hAnsiTheme="minorHAnsi"/>
          <w:szCs w:val="22"/>
        </w:rPr>
        <w:t xml:space="preserve"> </w:t>
      </w:r>
      <w:r w:rsidR="003E2833">
        <w:rPr>
          <w:rFonts w:asciiTheme="minorHAnsi" w:hAnsiTheme="minorHAnsi"/>
          <w:szCs w:val="22"/>
        </w:rPr>
        <w:t xml:space="preserve">Even </w:t>
      </w:r>
      <w:r w:rsidR="009755F4">
        <w:rPr>
          <w:rFonts w:asciiTheme="minorHAnsi" w:hAnsiTheme="minorHAnsi"/>
          <w:szCs w:val="22"/>
        </w:rPr>
        <w:t xml:space="preserve">the best </w:t>
      </w:r>
      <w:r w:rsidR="003E2833">
        <w:rPr>
          <w:rFonts w:asciiTheme="minorHAnsi" w:hAnsiTheme="minorHAnsi"/>
          <w:szCs w:val="22"/>
        </w:rPr>
        <w:t xml:space="preserve">designed regulations </w:t>
      </w:r>
      <w:r w:rsidR="00494952">
        <w:rPr>
          <w:rFonts w:asciiTheme="minorHAnsi" w:hAnsiTheme="minorHAnsi"/>
          <w:szCs w:val="22"/>
        </w:rPr>
        <w:t>decay</w:t>
      </w:r>
      <w:r w:rsidR="003E2833" w:rsidRPr="00607F78">
        <w:rPr>
          <w:rFonts w:asciiTheme="minorHAnsi" w:hAnsiTheme="minorHAnsi"/>
          <w:szCs w:val="22"/>
        </w:rPr>
        <w:t xml:space="preserve"> over time </w:t>
      </w:r>
      <w:r w:rsidR="003E2833">
        <w:rPr>
          <w:rFonts w:asciiTheme="minorHAnsi" w:hAnsiTheme="minorHAnsi"/>
          <w:szCs w:val="22"/>
        </w:rPr>
        <w:t xml:space="preserve">as </w:t>
      </w:r>
      <w:r w:rsidR="003E2833" w:rsidRPr="00607F78">
        <w:rPr>
          <w:rFonts w:asciiTheme="minorHAnsi" w:hAnsiTheme="minorHAnsi"/>
          <w:szCs w:val="22"/>
        </w:rPr>
        <w:t>the world changes</w:t>
      </w:r>
      <w:r w:rsidR="00494952">
        <w:rPr>
          <w:rFonts w:asciiTheme="minorHAnsi" w:hAnsiTheme="minorHAnsi"/>
          <w:szCs w:val="22"/>
        </w:rPr>
        <w:t>, n</w:t>
      </w:r>
      <w:r w:rsidR="003E2833" w:rsidRPr="00607F78">
        <w:rPr>
          <w:rFonts w:asciiTheme="minorHAnsi" w:hAnsiTheme="minorHAnsi"/>
          <w:szCs w:val="22"/>
        </w:rPr>
        <w:t xml:space="preserve">ew business models emerge and new technologies are invented. </w:t>
      </w:r>
      <w:r w:rsidR="000F232A">
        <w:rPr>
          <w:rFonts w:asciiTheme="minorHAnsi" w:hAnsiTheme="minorHAnsi"/>
          <w:szCs w:val="22"/>
        </w:rPr>
        <w:t xml:space="preserve"> </w:t>
      </w:r>
      <w:r w:rsidR="003E2833" w:rsidRPr="00607F78">
        <w:rPr>
          <w:rFonts w:asciiTheme="minorHAnsi" w:hAnsiTheme="minorHAnsi"/>
          <w:szCs w:val="22"/>
        </w:rPr>
        <w:t xml:space="preserve">Regulations </w:t>
      </w:r>
      <w:r w:rsidR="00C5661D">
        <w:rPr>
          <w:rFonts w:asciiTheme="minorHAnsi" w:hAnsiTheme="minorHAnsi"/>
          <w:szCs w:val="22"/>
        </w:rPr>
        <w:t>conceived</w:t>
      </w:r>
      <w:r w:rsidR="003E2833" w:rsidRPr="00607F78">
        <w:rPr>
          <w:rFonts w:asciiTheme="minorHAnsi" w:hAnsiTheme="minorHAnsi"/>
          <w:szCs w:val="22"/>
        </w:rPr>
        <w:t xml:space="preserve"> for static business models, </w:t>
      </w:r>
      <w:r w:rsidR="009755F4">
        <w:rPr>
          <w:rFonts w:asciiTheme="minorHAnsi" w:hAnsiTheme="minorHAnsi"/>
          <w:szCs w:val="22"/>
        </w:rPr>
        <w:t>earlier</w:t>
      </w:r>
      <w:r w:rsidR="003E2833" w:rsidRPr="00607F78">
        <w:rPr>
          <w:rFonts w:asciiTheme="minorHAnsi" w:hAnsiTheme="minorHAnsi"/>
          <w:szCs w:val="22"/>
        </w:rPr>
        <w:t xml:space="preserve"> economic conditions </w:t>
      </w:r>
      <w:r w:rsidR="009755F4">
        <w:rPr>
          <w:rFonts w:asciiTheme="minorHAnsi" w:hAnsiTheme="minorHAnsi"/>
          <w:szCs w:val="22"/>
        </w:rPr>
        <w:t xml:space="preserve">or </w:t>
      </w:r>
      <w:r w:rsidR="000F232A">
        <w:rPr>
          <w:rFonts w:asciiTheme="minorHAnsi" w:hAnsiTheme="minorHAnsi"/>
          <w:szCs w:val="22"/>
        </w:rPr>
        <w:t xml:space="preserve">different </w:t>
      </w:r>
      <w:r w:rsidR="003E2833" w:rsidRPr="00607F78">
        <w:rPr>
          <w:rFonts w:asciiTheme="minorHAnsi" w:hAnsiTheme="minorHAnsi"/>
          <w:szCs w:val="22"/>
        </w:rPr>
        <w:t>societal and technological contexts</w:t>
      </w:r>
      <w:r w:rsidR="00932A76">
        <w:rPr>
          <w:rFonts w:asciiTheme="minorHAnsi" w:hAnsiTheme="minorHAnsi"/>
          <w:szCs w:val="22"/>
        </w:rPr>
        <w:t>,</w:t>
      </w:r>
      <w:r w:rsidR="003E2833" w:rsidRPr="00607F78">
        <w:rPr>
          <w:rFonts w:asciiTheme="minorHAnsi" w:hAnsiTheme="minorHAnsi"/>
          <w:szCs w:val="22"/>
        </w:rPr>
        <w:t xml:space="preserve"> can quickly become outdated or inapplicable</w:t>
      </w:r>
      <w:r w:rsidR="008C1204" w:rsidRPr="009944E9">
        <w:rPr>
          <w:rFonts w:asciiTheme="minorHAnsi" w:hAnsiTheme="minorHAnsi"/>
          <w:szCs w:val="22"/>
        </w:rPr>
        <w:t>.</w:t>
      </w:r>
      <w:r w:rsidRPr="009944E9">
        <w:rPr>
          <w:rFonts w:asciiTheme="minorHAnsi" w:hAnsiTheme="minorHAnsi"/>
          <w:szCs w:val="22"/>
        </w:rPr>
        <w:t xml:space="preserve"> </w:t>
      </w:r>
      <w:r w:rsidR="003E2833">
        <w:rPr>
          <w:rFonts w:asciiTheme="minorHAnsi" w:hAnsiTheme="minorHAnsi"/>
          <w:szCs w:val="22"/>
        </w:rPr>
        <w:t xml:space="preserve"> </w:t>
      </w:r>
      <w:r w:rsidRPr="009944E9">
        <w:rPr>
          <w:rFonts w:asciiTheme="minorHAnsi" w:hAnsiTheme="minorHAnsi"/>
          <w:szCs w:val="22"/>
        </w:rPr>
        <w:t xml:space="preserve">New situations </w:t>
      </w:r>
      <w:r w:rsidR="00932A76">
        <w:rPr>
          <w:rFonts w:asciiTheme="minorHAnsi" w:hAnsiTheme="minorHAnsi"/>
          <w:szCs w:val="22"/>
        </w:rPr>
        <w:t>will inevitably</w:t>
      </w:r>
      <w:r w:rsidR="00932A76" w:rsidRPr="009944E9">
        <w:rPr>
          <w:rFonts w:asciiTheme="minorHAnsi" w:hAnsiTheme="minorHAnsi"/>
          <w:szCs w:val="22"/>
        </w:rPr>
        <w:t xml:space="preserve"> </w:t>
      </w:r>
      <w:r w:rsidRPr="009944E9">
        <w:rPr>
          <w:rFonts w:asciiTheme="minorHAnsi" w:hAnsiTheme="minorHAnsi"/>
          <w:szCs w:val="22"/>
        </w:rPr>
        <w:t>arise that were not expected when the rule</w:t>
      </w:r>
      <w:r w:rsidR="00494952">
        <w:rPr>
          <w:rFonts w:asciiTheme="minorHAnsi" w:hAnsiTheme="minorHAnsi"/>
          <w:szCs w:val="22"/>
        </w:rPr>
        <w:t>s were</w:t>
      </w:r>
      <w:r w:rsidRPr="009944E9">
        <w:rPr>
          <w:rFonts w:asciiTheme="minorHAnsi" w:hAnsiTheme="minorHAnsi"/>
          <w:szCs w:val="22"/>
        </w:rPr>
        <w:t xml:space="preserve"> written, </w:t>
      </w:r>
      <w:r w:rsidR="00932A76">
        <w:rPr>
          <w:rFonts w:asciiTheme="minorHAnsi" w:hAnsiTheme="minorHAnsi"/>
          <w:szCs w:val="22"/>
        </w:rPr>
        <w:t>and</w:t>
      </w:r>
      <w:r w:rsidR="00932A76" w:rsidRPr="009944E9">
        <w:rPr>
          <w:rFonts w:asciiTheme="minorHAnsi" w:hAnsiTheme="minorHAnsi"/>
          <w:szCs w:val="22"/>
        </w:rPr>
        <w:t xml:space="preserve"> </w:t>
      </w:r>
      <w:r w:rsidRPr="009944E9">
        <w:rPr>
          <w:rFonts w:asciiTheme="minorHAnsi" w:hAnsiTheme="minorHAnsi"/>
          <w:szCs w:val="22"/>
        </w:rPr>
        <w:t>the rule</w:t>
      </w:r>
      <w:r w:rsidR="00494952">
        <w:rPr>
          <w:rFonts w:asciiTheme="minorHAnsi" w:hAnsiTheme="minorHAnsi"/>
          <w:szCs w:val="22"/>
        </w:rPr>
        <w:t>s</w:t>
      </w:r>
      <w:r w:rsidRPr="009944E9">
        <w:rPr>
          <w:rFonts w:asciiTheme="minorHAnsi" w:hAnsiTheme="minorHAnsi"/>
          <w:szCs w:val="22"/>
        </w:rPr>
        <w:t xml:space="preserve"> may be interpreted, applied or responded to in unanticipated ways.  </w:t>
      </w:r>
      <w:r w:rsidR="00932A76">
        <w:rPr>
          <w:rFonts w:asciiTheme="minorHAnsi" w:hAnsiTheme="minorHAnsi"/>
          <w:szCs w:val="22"/>
        </w:rPr>
        <w:t>Further</w:t>
      </w:r>
      <w:r w:rsidR="00E3622C" w:rsidRPr="009944E9">
        <w:rPr>
          <w:rFonts w:asciiTheme="minorHAnsi" w:hAnsiTheme="minorHAnsi"/>
          <w:szCs w:val="22"/>
        </w:rPr>
        <w:t xml:space="preserve">, as recent developments in the field of behavioural economics are showing, people are unpredictable: often </w:t>
      </w:r>
      <w:r w:rsidR="001526FA">
        <w:rPr>
          <w:rFonts w:asciiTheme="minorHAnsi" w:hAnsiTheme="minorHAnsi"/>
          <w:szCs w:val="22"/>
        </w:rPr>
        <w:t>responding to regulatory interventions</w:t>
      </w:r>
      <w:r w:rsidR="001526FA" w:rsidRPr="009944E9">
        <w:rPr>
          <w:rFonts w:asciiTheme="minorHAnsi" w:hAnsiTheme="minorHAnsi"/>
          <w:szCs w:val="22"/>
        </w:rPr>
        <w:t xml:space="preserve"> </w:t>
      </w:r>
      <w:r w:rsidR="00E3622C" w:rsidRPr="009944E9">
        <w:rPr>
          <w:rFonts w:asciiTheme="minorHAnsi" w:hAnsiTheme="minorHAnsi"/>
          <w:szCs w:val="22"/>
        </w:rPr>
        <w:t>in counter-intuitive</w:t>
      </w:r>
      <w:r w:rsidR="00494952">
        <w:rPr>
          <w:rFonts w:asciiTheme="minorHAnsi" w:hAnsiTheme="minorHAnsi"/>
          <w:szCs w:val="22"/>
        </w:rPr>
        <w:t>, unexpected</w:t>
      </w:r>
      <w:r w:rsidR="00E3622C" w:rsidRPr="009944E9">
        <w:rPr>
          <w:rFonts w:asciiTheme="minorHAnsi" w:hAnsiTheme="minorHAnsi"/>
          <w:szCs w:val="22"/>
        </w:rPr>
        <w:t xml:space="preserve"> ways.  </w:t>
      </w:r>
    </w:p>
    <w:p w:rsidR="00F52F60" w:rsidRDefault="000F232A" w:rsidP="00F52F60">
      <w:pPr>
        <w:spacing w:after="120" w:line="276" w:lineRule="auto"/>
        <w:rPr>
          <w:rFonts w:asciiTheme="minorHAnsi" w:hAnsiTheme="minorHAnsi"/>
          <w:szCs w:val="22"/>
        </w:rPr>
      </w:pPr>
      <w:r>
        <w:rPr>
          <w:rFonts w:asciiTheme="minorHAnsi" w:hAnsiTheme="minorHAnsi"/>
          <w:szCs w:val="22"/>
        </w:rPr>
        <w:t>Especially in challenging political times</w:t>
      </w:r>
      <w:r w:rsidRPr="009944E9">
        <w:rPr>
          <w:rFonts w:asciiTheme="minorHAnsi" w:hAnsiTheme="minorHAnsi"/>
          <w:szCs w:val="22"/>
        </w:rPr>
        <w:t>, as rule</w:t>
      </w:r>
      <w:r>
        <w:rPr>
          <w:rFonts w:asciiTheme="minorHAnsi" w:hAnsiTheme="minorHAnsi"/>
          <w:szCs w:val="22"/>
        </w:rPr>
        <w:noBreakHyphen/>
      </w:r>
      <w:r w:rsidRPr="009944E9">
        <w:rPr>
          <w:rFonts w:asciiTheme="minorHAnsi" w:hAnsiTheme="minorHAnsi"/>
          <w:szCs w:val="22"/>
        </w:rPr>
        <w:t xml:space="preserve">makers move </w:t>
      </w:r>
      <w:r>
        <w:rPr>
          <w:rFonts w:asciiTheme="minorHAnsi" w:hAnsiTheme="minorHAnsi"/>
          <w:szCs w:val="22"/>
        </w:rPr>
        <w:t xml:space="preserve">quickly </w:t>
      </w:r>
      <w:r w:rsidRPr="009944E9">
        <w:rPr>
          <w:rFonts w:asciiTheme="minorHAnsi" w:hAnsiTheme="minorHAnsi"/>
          <w:szCs w:val="22"/>
        </w:rPr>
        <w:t>from one policy priority to the next</w:t>
      </w:r>
      <w:r>
        <w:rPr>
          <w:rFonts w:asciiTheme="minorHAnsi" w:hAnsiTheme="minorHAnsi"/>
          <w:szCs w:val="22"/>
        </w:rPr>
        <w:t xml:space="preserve">, </w:t>
      </w:r>
      <w:r w:rsidRPr="009944E9">
        <w:rPr>
          <w:rFonts w:asciiTheme="minorHAnsi" w:hAnsiTheme="minorHAnsi"/>
          <w:szCs w:val="22"/>
        </w:rPr>
        <w:t xml:space="preserve">regulations can be </w:t>
      </w:r>
      <w:r>
        <w:rPr>
          <w:rFonts w:asciiTheme="minorHAnsi" w:hAnsiTheme="minorHAnsi"/>
          <w:szCs w:val="22"/>
        </w:rPr>
        <w:t xml:space="preserve">seen as </w:t>
      </w:r>
      <w:r w:rsidRPr="009944E9">
        <w:rPr>
          <w:rFonts w:asciiTheme="minorHAnsi" w:hAnsiTheme="minorHAnsi"/>
          <w:szCs w:val="22"/>
        </w:rPr>
        <w:t xml:space="preserve">a ‘set and forget’ exercise. </w:t>
      </w:r>
      <w:r>
        <w:rPr>
          <w:rFonts w:asciiTheme="minorHAnsi" w:hAnsiTheme="minorHAnsi"/>
          <w:szCs w:val="22"/>
        </w:rPr>
        <w:t xml:space="preserve"> But inevitably, any regulatory framework, if left un</w:t>
      </w:r>
      <w:r w:rsidR="00C5661D">
        <w:rPr>
          <w:rFonts w:asciiTheme="minorHAnsi" w:hAnsiTheme="minorHAnsi"/>
          <w:szCs w:val="22"/>
        </w:rPr>
        <w:t>maintained</w:t>
      </w:r>
      <w:r>
        <w:rPr>
          <w:rFonts w:asciiTheme="minorHAnsi" w:hAnsiTheme="minorHAnsi"/>
          <w:szCs w:val="22"/>
        </w:rPr>
        <w:t xml:space="preserve">, </w:t>
      </w:r>
      <w:r w:rsidR="008365D6">
        <w:rPr>
          <w:rFonts w:asciiTheme="minorHAnsi" w:hAnsiTheme="minorHAnsi"/>
          <w:szCs w:val="22"/>
        </w:rPr>
        <w:t>decays</w:t>
      </w:r>
      <w:r>
        <w:rPr>
          <w:rFonts w:asciiTheme="minorHAnsi" w:hAnsiTheme="minorHAnsi"/>
          <w:szCs w:val="22"/>
        </w:rPr>
        <w:t>.  Moreover, when regulatory change is formulated and implemented in haste,</w:t>
      </w:r>
      <w:r w:rsidRPr="009944E9">
        <w:rPr>
          <w:rFonts w:asciiTheme="minorHAnsi" w:hAnsiTheme="minorHAnsi"/>
          <w:szCs w:val="22"/>
        </w:rPr>
        <w:t xml:space="preserve"> </w:t>
      </w:r>
      <w:r>
        <w:rPr>
          <w:rFonts w:asciiTheme="minorHAnsi" w:hAnsiTheme="minorHAnsi"/>
          <w:szCs w:val="22"/>
        </w:rPr>
        <w:t>some p</w:t>
      </w:r>
      <w:r w:rsidRPr="009944E9">
        <w:rPr>
          <w:rFonts w:asciiTheme="minorHAnsi" w:hAnsiTheme="minorHAnsi"/>
          <w:szCs w:val="22"/>
        </w:rPr>
        <w:t xml:space="preserve">roposed rules and regulations are </w:t>
      </w:r>
      <w:r>
        <w:rPr>
          <w:rFonts w:asciiTheme="minorHAnsi" w:hAnsiTheme="minorHAnsi"/>
          <w:szCs w:val="22"/>
        </w:rPr>
        <w:t>barely more than</w:t>
      </w:r>
      <w:r w:rsidRPr="009944E9">
        <w:rPr>
          <w:rFonts w:asciiTheme="minorHAnsi" w:hAnsiTheme="minorHAnsi"/>
          <w:szCs w:val="22"/>
        </w:rPr>
        <w:t xml:space="preserve"> hypotheses about</w:t>
      </w:r>
      <w:r>
        <w:rPr>
          <w:rFonts w:asciiTheme="minorHAnsi" w:hAnsiTheme="minorHAnsi"/>
          <w:szCs w:val="22"/>
        </w:rPr>
        <w:t xml:space="preserve"> how to</w:t>
      </w:r>
      <w:r w:rsidRPr="009944E9">
        <w:rPr>
          <w:rFonts w:asciiTheme="minorHAnsi" w:hAnsiTheme="minorHAnsi"/>
          <w:szCs w:val="22"/>
        </w:rPr>
        <w:t xml:space="preserve"> chang</w:t>
      </w:r>
      <w:r>
        <w:rPr>
          <w:rFonts w:asciiTheme="minorHAnsi" w:hAnsiTheme="minorHAnsi"/>
          <w:szCs w:val="22"/>
        </w:rPr>
        <w:t>e</w:t>
      </w:r>
      <w:r w:rsidRPr="009944E9">
        <w:rPr>
          <w:rFonts w:asciiTheme="minorHAnsi" w:hAnsiTheme="minorHAnsi"/>
          <w:szCs w:val="22"/>
        </w:rPr>
        <w:t xml:space="preserve"> behaviour</w:t>
      </w:r>
      <w:r>
        <w:rPr>
          <w:rFonts w:asciiTheme="minorHAnsi" w:hAnsiTheme="minorHAnsi"/>
          <w:szCs w:val="22"/>
        </w:rPr>
        <w:t xml:space="preserve"> </w:t>
      </w:r>
      <w:r w:rsidR="008365D6">
        <w:rPr>
          <w:rFonts w:asciiTheme="minorHAnsi" w:hAnsiTheme="minorHAnsi"/>
          <w:szCs w:val="22"/>
        </w:rPr>
        <w:sym w:font="Symbol" w:char="F0BE"/>
      </w:r>
      <w:r w:rsidR="008365D6">
        <w:rPr>
          <w:rFonts w:asciiTheme="minorHAnsi" w:hAnsiTheme="minorHAnsi"/>
          <w:szCs w:val="22"/>
        </w:rPr>
        <w:t xml:space="preserve"> </w:t>
      </w:r>
      <w:r w:rsidRPr="009944E9">
        <w:rPr>
          <w:rFonts w:asciiTheme="minorHAnsi" w:hAnsiTheme="minorHAnsi"/>
          <w:szCs w:val="22"/>
        </w:rPr>
        <w:t>a</w:t>
      </w:r>
      <w:r>
        <w:rPr>
          <w:rFonts w:asciiTheme="minorHAnsi" w:hAnsiTheme="minorHAnsi"/>
          <w:szCs w:val="22"/>
        </w:rPr>
        <w:t>n</w:t>
      </w:r>
      <w:r w:rsidRPr="009944E9">
        <w:rPr>
          <w:rFonts w:asciiTheme="minorHAnsi" w:hAnsiTheme="minorHAnsi"/>
          <w:szCs w:val="22"/>
        </w:rPr>
        <w:t xml:space="preserve"> ‘</w:t>
      </w:r>
      <w:r>
        <w:rPr>
          <w:rFonts w:asciiTheme="minorHAnsi" w:hAnsiTheme="minorHAnsi"/>
          <w:szCs w:val="22"/>
        </w:rPr>
        <w:t>educated</w:t>
      </w:r>
      <w:r w:rsidRPr="009944E9">
        <w:rPr>
          <w:rFonts w:asciiTheme="minorHAnsi" w:hAnsiTheme="minorHAnsi"/>
          <w:szCs w:val="22"/>
        </w:rPr>
        <w:t xml:space="preserve"> guess’ as to how the future will play out.</w:t>
      </w:r>
      <w:r>
        <w:rPr>
          <w:rFonts w:asciiTheme="minorHAnsi" w:hAnsiTheme="minorHAnsi"/>
          <w:szCs w:val="22"/>
        </w:rPr>
        <w:t xml:space="preserve">  </w:t>
      </w:r>
      <w:r w:rsidR="000E4D0D">
        <w:rPr>
          <w:rFonts w:asciiTheme="minorHAnsi" w:hAnsiTheme="minorHAnsi"/>
          <w:szCs w:val="22"/>
        </w:rPr>
        <w:t>W</w:t>
      </w:r>
      <w:r w:rsidR="00F52F60" w:rsidRPr="009944E9">
        <w:rPr>
          <w:rFonts w:asciiTheme="minorHAnsi" w:hAnsiTheme="minorHAnsi"/>
          <w:szCs w:val="22"/>
        </w:rPr>
        <w:t xml:space="preserve">ithout </w:t>
      </w:r>
      <w:r>
        <w:rPr>
          <w:rFonts w:asciiTheme="minorHAnsi" w:hAnsiTheme="minorHAnsi"/>
          <w:szCs w:val="22"/>
        </w:rPr>
        <w:t>a</w:t>
      </w:r>
      <w:r w:rsidR="00430BA4">
        <w:rPr>
          <w:rFonts w:asciiTheme="minorHAnsi" w:hAnsiTheme="minorHAnsi"/>
          <w:szCs w:val="22"/>
        </w:rPr>
        <w:t xml:space="preserve"> conscious and explicit method</w:t>
      </w:r>
      <w:r w:rsidR="00F52F60" w:rsidRPr="009944E9">
        <w:rPr>
          <w:rFonts w:asciiTheme="minorHAnsi" w:hAnsiTheme="minorHAnsi"/>
          <w:szCs w:val="22"/>
        </w:rPr>
        <w:t xml:space="preserve"> </w:t>
      </w:r>
      <w:r>
        <w:rPr>
          <w:rFonts w:asciiTheme="minorHAnsi" w:hAnsiTheme="minorHAnsi"/>
          <w:szCs w:val="22"/>
        </w:rPr>
        <w:t xml:space="preserve">of </w:t>
      </w:r>
      <w:r w:rsidR="00430BA4">
        <w:rPr>
          <w:rFonts w:asciiTheme="minorHAnsi" w:hAnsiTheme="minorHAnsi"/>
          <w:szCs w:val="22"/>
        </w:rPr>
        <w:t xml:space="preserve">enabling </w:t>
      </w:r>
      <w:r w:rsidR="003E2833">
        <w:rPr>
          <w:rFonts w:asciiTheme="minorHAnsi" w:hAnsiTheme="minorHAnsi"/>
          <w:szCs w:val="22"/>
        </w:rPr>
        <w:t xml:space="preserve">established </w:t>
      </w:r>
      <w:r w:rsidR="00F52F60" w:rsidRPr="009944E9">
        <w:rPr>
          <w:rFonts w:asciiTheme="minorHAnsi" w:hAnsiTheme="minorHAnsi"/>
          <w:szCs w:val="22"/>
        </w:rPr>
        <w:t>regulatory framework</w:t>
      </w:r>
      <w:r w:rsidR="00E3622C">
        <w:rPr>
          <w:rFonts w:asciiTheme="minorHAnsi" w:hAnsiTheme="minorHAnsi"/>
          <w:szCs w:val="22"/>
        </w:rPr>
        <w:t>s</w:t>
      </w:r>
      <w:r w:rsidR="00E3622C" w:rsidRPr="00E3622C">
        <w:rPr>
          <w:rFonts w:asciiTheme="minorHAnsi" w:hAnsiTheme="minorHAnsi"/>
          <w:szCs w:val="22"/>
        </w:rPr>
        <w:t xml:space="preserve"> </w:t>
      </w:r>
      <w:r w:rsidR="00E3622C" w:rsidRPr="009944E9">
        <w:rPr>
          <w:rFonts w:asciiTheme="minorHAnsi" w:hAnsiTheme="minorHAnsi"/>
          <w:szCs w:val="22"/>
        </w:rPr>
        <w:t xml:space="preserve">to </w:t>
      </w:r>
      <w:r>
        <w:rPr>
          <w:rFonts w:asciiTheme="minorHAnsi" w:hAnsiTheme="minorHAnsi"/>
          <w:szCs w:val="22"/>
        </w:rPr>
        <w:t>autonomously</w:t>
      </w:r>
      <w:r w:rsidR="00E3622C">
        <w:rPr>
          <w:rFonts w:asciiTheme="minorHAnsi" w:hAnsiTheme="minorHAnsi"/>
          <w:szCs w:val="22"/>
        </w:rPr>
        <w:t xml:space="preserve"> </w:t>
      </w:r>
      <w:r w:rsidR="00E3622C" w:rsidRPr="009944E9">
        <w:rPr>
          <w:rFonts w:asciiTheme="minorHAnsi" w:hAnsiTheme="minorHAnsi"/>
          <w:szCs w:val="22"/>
        </w:rPr>
        <w:t>adapt</w:t>
      </w:r>
      <w:r w:rsidR="003E2833">
        <w:rPr>
          <w:rFonts w:asciiTheme="minorHAnsi" w:hAnsiTheme="minorHAnsi"/>
          <w:szCs w:val="22"/>
        </w:rPr>
        <w:t xml:space="preserve">, or </w:t>
      </w:r>
      <w:r w:rsidR="00430BA4">
        <w:rPr>
          <w:rFonts w:asciiTheme="minorHAnsi" w:hAnsiTheme="minorHAnsi"/>
          <w:szCs w:val="22"/>
        </w:rPr>
        <w:t xml:space="preserve">to </w:t>
      </w:r>
      <w:r w:rsidR="003E2833">
        <w:rPr>
          <w:rFonts w:asciiTheme="minorHAnsi" w:hAnsiTheme="minorHAnsi"/>
          <w:szCs w:val="22"/>
        </w:rPr>
        <w:t xml:space="preserve">be </w:t>
      </w:r>
      <w:r w:rsidR="008C1204">
        <w:rPr>
          <w:rFonts w:asciiTheme="minorHAnsi" w:hAnsiTheme="minorHAnsi"/>
          <w:szCs w:val="22"/>
        </w:rPr>
        <w:t xml:space="preserve">constantly </w:t>
      </w:r>
      <w:r w:rsidR="003E2833">
        <w:rPr>
          <w:rFonts w:asciiTheme="minorHAnsi" w:hAnsiTheme="minorHAnsi"/>
          <w:szCs w:val="22"/>
        </w:rPr>
        <w:t>reviewed and changed</w:t>
      </w:r>
      <w:r w:rsidR="00F52F60" w:rsidRPr="009944E9">
        <w:rPr>
          <w:rFonts w:asciiTheme="minorHAnsi" w:hAnsiTheme="minorHAnsi"/>
          <w:szCs w:val="22"/>
        </w:rPr>
        <w:t xml:space="preserve">, any reform agenda is </w:t>
      </w:r>
      <w:r w:rsidR="00E3622C">
        <w:rPr>
          <w:rFonts w:asciiTheme="minorHAnsi" w:hAnsiTheme="minorHAnsi"/>
          <w:szCs w:val="22"/>
        </w:rPr>
        <w:t>largely</w:t>
      </w:r>
      <w:r w:rsidR="00E3622C" w:rsidRPr="009944E9">
        <w:rPr>
          <w:rFonts w:asciiTheme="minorHAnsi" w:hAnsiTheme="minorHAnsi"/>
          <w:szCs w:val="22"/>
        </w:rPr>
        <w:t xml:space="preserve"> </w:t>
      </w:r>
      <w:r w:rsidR="00F52F60" w:rsidRPr="009944E9">
        <w:rPr>
          <w:rFonts w:asciiTheme="minorHAnsi" w:hAnsiTheme="minorHAnsi"/>
          <w:szCs w:val="22"/>
        </w:rPr>
        <w:t>playing catch-up</w:t>
      </w:r>
      <w:r w:rsidR="008C1204">
        <w:rPr>
          <w:rFonts w:asciiTheme="minorHAnsi" w:hAnsiTheme="minorHAnsi"/>
          <w:szCs w:val="22"/>
        </w:rPr>
        <w:t>.</w:t>
      </w:r>
      <w:r w:rsidR="00502110">
        <w:rPr>
          <w:rFonts w:asciiTheme="minorHAnsi" w:hAnsiTheme="minorHAnsi"/>
          <w:szCs w:val="22"/>
        </w:rPr>
        <w:t xml:space="preserve"> </w:t>
      </w:r>
    </w:p>
    <w:p w:rsidR="009B20C4" w:rsidRDefault="009B20C4">
      <w:pPr>
        <w:spacing w:after="0"/>
        <w:rPr>
          <w:b/>
          <w:caps/>
        </w:rPr>
      </w:pPr>
      <w:r>
        <w:br w:type="page"/>
      </w:r>
    </w:p>
    <w:p w:rsidR="00F52F60" w:rsidRPr="009944E9" w:rsidRDefault="00F52F60" w:rsidP="00F52F60">
      <w:pPr>
        <w:pStyle w:val="Heading2"/>
      </w:pPr>
      <w:r w:rsidRPr="009944E9">
        <w:lastRenderedPageBreak/>
        <w:t xml:space="preserve">How can we </w:t>
      </w:r>
      <w:r w:rsidR="008C1204">
        <w:t>fix</w:t>
      </w:r>
      <w:r w:rsidRPr="009944E9">
        <w:t xml:space="preserve"> our </w:t>
      </w:r>
      <w:r>
        <w:t>regulatory frameworks</w:t>
      </w:r>
      <w:r w:rsidRPr="009944E9">
        <w:t>?</w:t>
      </w:r>
    </w:p>
    <w:p w:rsidR="00FC6453" w:rsidRDefault="007467C7">
      <w:pPr>
        <w:spacing w:after="120" w:line="276" w:lineRule="auto"/>
        <w:rPr>
          <w:rFonts w:asciiTheme="minorHAnsi" w:hAnsiTheme="minorHAnsi"/>
          <w:szCs w:val="22"/>
        </w:rPr>
      </w:pPr>
      <w:r>
        <w:rPr>
          <w:rFonts w:asciiTheme="minorHAnsi" w:hAnsiTheme="minorHAnsi"/>
          <w:szCs w:val="22"/>
        </w:rPr>
        <w:t>There is general acceptance that r</w:t>
      </w:r>
      <w:r w:rsidR="00FC6453">
        <w:rPr>
          <w:rFonts w:asciiTheme="minorHAnsi" w:hAnsiTheme="minorHAnsi"/>
          <w:szCs w:val="22"/>
        </w:rPr>
        <w:t>egulation itself is not necessarily bad.  Complex modern societies need regulations</w:t>
      </w:r>
      <w:r>
        <w:rPr>
          <w:rFonts w:asciiTheme="minorHAnsi" w:hAnsiTheme="minorHAnsi"/>
          <w:szCs w:val="22"/>
        </w:rPr>
        <w:t>,</w:t>
      </w:r>
      <w:r w:rsidRPr="007467C7">
        <w:rPr>
          <w:rFonts w:asciiTheme="minorHAnsi" w:hAnsiTheme="minorHAnsi"/>
          <w:szCs w:val="22"/>
        </w:rPr>
        <w:t xml:space="preserve"> </w:t>
      </w:r>
      <w:r>
        <w:rPr>
          <w:rFonts w:asciiTheme="minorHAnsi" w:hAnsiTheme="minorHAnsi"/>
          <w:szCs w:val="22"/>
        </w:rPr>
        <w:t>for example, to protect consumers by creating statutory rights and remedies not provided by the general law</w:t>
      </w:r>
      <w:r w:rsidR="00E92356">
        <w:rPr>
          <w:rFonts w:asciiTheme="minorHAnsi" w:hAnsiTheme="minorHAnsi"/>
          <w:szCs w:val="22"/>
        </w:rPr>
        <w:t xml:space="preserve"> and</w:t>
      </w:r>
      <w:r w:rsidR="00932A76">
        <w:rPr>
          <w:rFonts w:asciiTheme="minorHAnsi" w:hAnsiTheme="minorHAnsi"/>
          <w:szCs w:val="22"/>
        </w:rPr>
        <w:t xml:space="preserve"> </w:t>
      </w:r>
      <w:r w:rsidR="00E92356">
        <w:rPr>
          <w:rFonts w:asciiTheme="minorHAnsi" w:hAnsiTheme="minorHAnsi"/>
          <w:szCs w:val="22"/>
        </w:rPr>
        <w:t xml:space="preserve">to lower transaction costs for firms by setting clear rules and </w:t>
      </w:r>
      <w:r w:rsidR="00932A76">
        <w:rPr>
          <w:rFonts w:asciiTheme="minorHAnsi" w:hAnsiTheme="minorHAnsi"/>
          <w:szCs w:val="22"/>
        </w:rPr>
        <w:t>a level playing field</w:t>
      </w:r>
      <w:r w:rsidR="00FC6453">
        <w:rPr>
          <w:rFonts w:asciiTheme="minorHAnsi" w:hAnsiTheme="minorHAnsi"/>
          <w:szCs w:val="22"/>
        </w:rPr>
        <w:t>.  Taxation is an essential element of modern society</w:t>
      </w:r>
      <w:r w:rsidR="002511EF">
        <w:rPr>
          <w:rFonts w:asciiTheme="minorHAnsi" w:hAnsiTheme="minorHAnsi"/>
          <w:szCs w:val="22"/>
        </w:rPr>
        <w:t xml:space="preserve"> </w:t>
      </w:r>
      <w:r w:rsidR="002511EF">
        <w:rPr>
          <w:rFonts w:asciiTheme="minorHAnsi" w:hAnsiTheme="minorHAnsi"/>
          <w:szCs w:val="22"/>
        </w:rPr>
        <w:sym w:font="Symbol" w:char="F0BE"/>
      </w:r>
      <w:r w:rsidR="00FC6453">
        <w:rPr>
          <w:rFonts w:asciiTheme="minorHAnsi" w:hAnsiTheme="minorHAnsi"/>
          <w:szCs w:val="22"/>
        </w:rPr>
        <w:t xml:space="preserve"> </w:t>
      </w:r>
      <w:r>
        <w:rPr>
          <w:rFonts w:asciiTheme="minorHAnsi" w:hAnsiTheme="minorHAnsi"/>
          <w:szCs w:val="22"/>
        </w:rPr>
        <w:t xml:space="preserve">indeed Oliver Wendell Holmes Jr described it as </w:t>
      </w:r>
      <w:r w:rsidR="00FC6453">
        <w:rPr>
          <w:rFonts w:asciiTheme="minorHAnsi" w:hAnsiTheme="minorHAnsi"/>
          <w:szCs w:val="22"/>
        </w:rPr>
        <w:t xml:space="preserve">the price </w:t>
      </w:r>
      <w:r>
        <w:rPr>
          <w:rFonts w:asciiTheme="minorHAnsi" w:hAnsiTheme="minorHAnsi"/>
          <w:szCs w:val="22"/>
        </w:rPr>
        <w:t xml:space="preserve">we pay </w:t>
      </w:r>
      <w:r w:rsidR="00FC6453">
        <w:rPr>
          <w:rFonts w:asciiTheme="minorHAnsi" w:hAnsiTheme="minorHAnsi"/>
          <w:szCs w:val="22"/>
        </w:rPr>
        <w:t xml:space="preserve">for </w:t>
      </w:r>
      <w:r w:rsidR="00DB43BF">
        <w:rPr>
          <w:rFonts w:asciiTheme="minorHAnsi" w:hAnsiTheme="minorHAnsi"/>
          <w:szCs w:val="22"/>
        </w:rPr>
        <w:t>living in a civilised society</w:t>
      </w:r>
      <w:r w:rsidR="00FC6453">
        <w:rPr>
          <w:rFonts w:asciiTheme="minorHAnsi" w:hAnsiTheme="minorHAnsi"/>
          <w:szCs w:val="22"/>
        </w:rPr>
        <w:t xml:space="preserve">.  </w:t>
      </w:r>
      <w:r w:rsidR="00FC6453" w:rsidRPr="00115F27">
        <w:rPr>
          <w:rFonts w:asciiTheme="minorHAnsi" w:hAnsiTheme="minorHAnsi"/>
          <w:szCs w:val="22"/>
        </w:rPr>
        <w:t>But, as Adam Smith recognised,</w:t>
      </w:r>
      <w:r w:rsidR="00300186" w:rsidRPr="00115F27">
        <w:rPr>
          <w:rFonts w:asciiTheme="minorHAnsi" w:hAnsiTheme="minorHAnsi"/>
          <w:szCs w:val="22"/>
        </w:rPr>
        <w:t xml:space="preserve"> ‘</w:t>
      </w:r>
      <w:r w:rsidR="00115F27">
        <w:rPr>
          <w:rFonts w:asciiTheme="minorHAnsi" w:hAnsiTheme="minorHAnsi"/>
          <w:szCs w:val="22"/>
        </w:rPr>
        <w:t>[e</w:t>
      </w:r>
      <w:r w:rsidR="00115F27" w:rsidRPr="00115F27">
        <w:rPr>
          <w:rFonts w:asciiTheme="minorHAnsi" w:hAnsiTheme="minorHAnsi"/>
          <w:szCs w:val="22"/>
        </w:rPr>
        <w:t>very</w:t>
      </w:r>
      <w:r w:rsidR="003E2833">
        <w:rPr>
          <w:rFonts w:asciiTheme="minorHAnsi" w:hAnsiTheme="minorHAnsi"/>
          <w:szCs w:val="22"/>
        </w:rPr>
        <w:t>]</w:t>
      </w:r>
      <w:r w:rsidR="00115F27" w:rsidRPr="00115F27">
        <w:rPr>
          <w:rFonts w:asciiTheme="minorHAnsi" w:hAnsiTheme="minorHAnsi"/>
          <w:szCs w:val="22"/>
        </w:rPr>
        <w:t xml:space="preserve"> tax ought to be so contrived as both to take out and to keep out of the pockets of the people as little as possible over and above what it brings into th</w:t>
      </w:r>
      <w:r w:rsidR="00115F27">
        <w:rPr>
          <w:rFonts w:asciiTheme="minorHAnsi" w:hAnsiTheme="minorHAnsi"/>
          <w:szCs w:val="22"/>
        </w:rPr>
        <w:t>e public treasury of the state.</w:t>
      </w:r>
      <w:r w:rsidR="00BA6C5B">
        <w:rPr>
          <w:rFonts w:asciiTheme="minorHAnsi" w:hAnsiTheme="minorHAnsi"/>
          <w:szCs w:val="22"/>
        </w:rPr>
        <w:t>’</w:t>
      </w:r>
      <w:r w:rsidR="00300186">
        <w:rPr>
          <w:rStyle w:val="FootnoteReference"/>
          <w:rFonts w:asciiTheme="minorHAnsi" w:hAnsiTheme="minorHAnsi"/>
          <w:szCs w:val="22"/>
        </w:rPr>
        <w:footnoteReference w:id="7"/>
      </w:r>
      <w:r w:rsidR="00115F27">
        <w:rPr>
          <w:rFonts w:asciiTheme="minorHAnsi" w:hAnsiTheme="minorHAnsi"/>
          <w:szCs w:val="22"/>
        </w:rPr>
        <w:t xml:space="preserve"> </w:t>
      </w:r>
      <w:r w:rsidR="00FC6453">
        <w:rPr>
          <w:rFonts w:asciiTheme="minorHAnsi" w:hAnsiTheme="minorHAnsi"/>
          <w:szCs w:val="22"/>
        </w:rPr>
        <w:t xml:space="preserve"> The same</w:t>
      </w:r>
      <w:r w:rsidR="00115F27">
        <w:rPr>
          <w:rFonts w:asciiTheme="minorHAnsi" w:hAnsiTheme="minorHAnsi"/>
          <w:szCs w:val="22"/>
        </w:rPr>
        <w:t xml:space="preserve"> principle</w:t>
      </w:r>
      <w:r w:rsidR="00FC6453">
        <w:rPr>
          <w:rFonts w:asciiTheme="minorHAnsi" w:hAnsiTheme="minorHAnsi"/>
          <w:szCs w:val="22"/>
        </w:rPr>
        <w:t xml:space="preserve"> </w:t>
      </w:r>
      <w:r w:rsidR="00DB43BF">
        <w:rPr>
          <w:rFonts w:asciiTheme="minorHAnsi" w:hAnsiTheme="minorHAnsi"/>
          <w:szCs w:val="22"/>
        </w:rPr>
        <w:t xml:space="preserve">holds </w:t>
      </w:r>
      <w:r w:rsidR="00FC6453">
        <w:rPr>
          <w:rFonts w:asciiTheme="minorHAnsi" w:hAnsiTheme="minorHAnsi"/>
          <w:szCs w:val="22"/>
        </w:rPr>
        <w:t xml:space="preserve">for regulations governing the financial system, environment protection, </w:t>
      </w:r>
      <w:r w:rsidR="000B2E2F">
        <w:rPr>
          <w:rFonts w:asciiTheme="minorHAnsi" w:hAnsiTheme="minorHAnsi"/>
          <w:szCs w:val="22"/>
        </w:rPr>
        <w:t>competition, cor</w:t>
      </w:r>
      <w:r w:rsidR="00FC6453">
        <w:rPr>
          <w:rFonts w:asciiTheme="minorHAnsi" w:hAnsiTheme="minorHAnsi"/>
          <w:szCs w:val="22"/>
        </w:rPr>
        <w:t xml:space="preserve">porations and the list goes on.  </w:t>
      </w:r>
      <w:r w:rsidR="008C1204">
        <w:rPr>
          <w:rFonts w:asciiTheme="minorHAnsi" w:hAnsiTheme="minorHAnsi"/>
          <w:szCs w:val="22"/>
        </w:rPr>
        <w:t>U</w:t>
      </w:r>
      <w:r w:rsidR="00FC6453">
        <w:rPr>
          <w:rFonts w:asciiTheme="minorHAnsi" w:hAnsiTheme="minorHAnsi"/>
          <w:szCs w:val="22"/>
        </w:rPr>
        <w:t xml:space="preserve">nnecessary, ineffective </w:t>
      </w:r>
      <w:r w:rsidR="008C1204">
        <w:rPr>
          <w:rFonts w:asciiTheme="minorHAnsi" w:hAnsiTheme="minorHAnsi"/>
          <w:szCs w:val="22"/>
        </w:rPr>
        <w:t>or</w:t>
      </w:r>
      <w:r w:rsidR="00FC6453">
        <w:rPr>
          <w:rFonts w:asciiTheme="minorHAnsi" w:hAnsiTheme="minorHAnsi"/>
          <w:szCs w:val="22"/>
        </w:rPr>
        <w:t xml:space="preserve"> inefficient regulation is a </w:t>
      </w:r>
      <w:r w:rsidR="00DB43BF">
        <w:rPr>
          <w:rFonts w:asciiTheme="minorHAnsi" w:hAnsiTheme="minorHAnsi"/>
          <w:szCs w:val="22"/>
        </w:rPr>
        <w:t xml:space="preserve">drain </w:t>
      </w:r>
      <w:r w:rsidR="00FC6453">
        <w:rPr>
          <w:rFonts w:asciiTheme="minorHAnsi" w:hAnsiTheme="minorHAnsi"/>
          <w:szCs w:val="22"/>
        </w:rPr>
        <w:t xml:space="preserve">on the </w:t>
      </w:r>
      <w:r w:rsidR="00DB43BF">
        <w:rPr>
          <w:rFonts w:asciiTheme="minorHAnsi" w:hAnsiTheme="minorHAnsi"/>
          <w:szCs w:val="22"/>
        </w:rPr>
        <w:t>nation’s means</w:t>
      </w:r>
      <w:r w:rsidR="00FC6453">
        <w:rPr>
          <w:rFonts w:asciiTheme="minorHAnsi" w:hAnsiTheme="minorHAnsi"/>
          <w:szCs w:val="22"/>
        </w:rPr>
        <w:t xml:space="preserve">. </w:t>
      </w:r>
    </w:p>
    <w:p w:rsidR="00533794" w:rsidRDefault="002511EF" w:rsidP="00533794">
      <w:pPr>
        <w:spacing w:after="120" w:line="276" w:lineRule="auto"/>
        <w:rPr>
          <w:rFonts w:asciiTheme="minorHAnsi" w:eastAsiaTheme="minorHAnsi" w:hAnsiTheme="minorHAnsi"/>
          <w:szCs w:val="22"/>
          <w:lang w:eastAsia="en-US"/>
        </w:rPr>
      </w:pPr>
      <w:r>
        <w:rPr>
          <w:rFonts w:asciiTheme="minorHAnsi" w:eastAsiaTheme="minorHAnsi" w:hAnsiTheme="minorHAnsi"/>
          <w:szCs w:val="22"/>
          <w:lang w:eastAsia="en-US"/>
        </w:rPr>
        <w:t>As i</w:t>
      </w:r>
      <w:r w:rsidR="005D5C40">
        <w:rPr>
          <w:rFonts w:asciiTheme="minorHAnsi" w:eastAsiaTheme="minorHAnsi" w:hAnsiTheme="minorHAnsi"/>
          <w:szCs w:val="22"/>
          <w:lang w:eastAsia="en-US"/>
        </w:rPr>
        <w:t xml:space="preserve">t is </w:t>
      </w:r>
      <w:r>
        <w:rPr>
          <w:rFonts w:asciiTheme="minorHAnsi" w:eastAsiaTheme="minorHAnsi" w:hAnsiTheme="minorHAnsi"/>
          <w:szCs w:val="22"/>
          <w:lang w:eastAsia="en-US"/>
        </w:rPr>
        <w:t xml:space="preserve">sometimes </w:t>
      </w:r>
      <w:r w:rsidR="005D5C40">
        <w:rPr>
          <w:rFonts w:asciiTheme="minorHAnsi" w:eastAsiaTheme="minorHAnsi" w:hAnsiTheme="minorHAnsi"/>
          <w:szCs w:val="22"/>
          <w:lang w:eastAsia="en-US"/>
        </w:rPr>
        <w:t>hard to foresee</w:t>
      </w:r>
      <w:r w:rsidR="003E2833" w:rsidRPr="009944E9">
        <w:rPr>
          <w:rFonts w:asciiTheme="minorHAnsi" w:eastAsiaTheme="minorHAnsi" w:hAnsiTheme="minorHAnsi"/>
          <w:szCs w:val="22"/>
          <w:lang w:eastAsia="en-US"/>
        </w:rPr>
        <w:t xml:space="preserve"> the </w:t>
      </w:r>
      <w:r>
        <w:rPr>
          <w:rFonts w:asciiTheme="minorHAnsi" w:eastAsiaTheme="minorHAnsi" w:hAnsiTheme="minorHAnsi"/>
          <w:szCs w:val="22"/>
          <w:lang w:eastAsia="en-US"/>
        </w:rPr>
        <w:t xml:space="preserve">precise </w:t>
      </w:r>
      <w:r w:rsidR="003E2833" w:rsidRPr="009944E9">
        <w:rPr>
          <w:rFonts w:asciiTheme="minorHAnsi" w:eastAsiaTheme="minorHAnsi" w:hAnsiTheme="minorHAnsi"/>
          <w:szCs w:val="22"/>
          <w:lang w:eastAsia="en-US"/>
        </w:rPr>
        <w:t>effects of regulation in advance</w:t>
      </w:r>
      <w:r w:rsidR="005D5C40">
        <w:rPr>
          <w:rFonts w:asciiTheme="minorHAnsi" w:eastAsiaTheme="minorHAnsi" w:hAnsiTheme="minorHAnsi"/>
          <w:szCs w:val="22"/>
          <w:lang w:eastAsia="en-US"/>
        </w:rPr>
        <w:t>,</w:t>
      </w:r>
      <w:r w:rsidR="003E2833" w:rsidRPr="009944E9">
        <w:rPr>
          <w:rFonts w:asciiTheme="minorHAnsi" w:eastAsiaTheme="minorHAnsi" w:hAnsiTheme="minorHAnsi"/>
          <w:szCs w:val="22"/>
          <w:lang w:eastAsia="en-US"/>
        </w:rPr>
        <w:t xml:space="preserve"> and regulatory challenges can change</w:t>
      </w:r>
      <w:r w:rsidR="005D5C40">
        <w:rPr>
          <w:rFonts w:asciiTheme="minorHAnsi" w:eastAsiaTheme="minorHAnsi" w:hAnsiTheme="minorHAnsi"/>
          <w:szCs w:val="22"/>
          <w:lang w:eastAsia="en-US"/>
        </w:rPr>
        <w:t xml:space="preserve"> quickly</w:t>
      </w:r>
      <w:r>
        <w:rPr>
          <w:rFonts w:asciiTheme="minorHAnsi" w:eastAsiaTheme="minorHAnsi" w:hAnsiTheme="minorHAnsi"/>
          <w:szCs w:val="22"/>
          <w:lang w:eastAsia="en-US"/>
        </w:rPr>
        <w:t>, a</w:t>
      </w:r>
      <w:r w:rsidR="003E2833" w:rsidRPr="009944E9">
        <w:rPr>
          <w:rFonts w:asciiTheme="minorHAnsi" w:eastAsiaTheme="minorHAnsi" w:hAnsiTheme="minorHAnsi"/>
          <w:szCs w:val="22"/>
          <w:lang w:eastAsia="en-US"/>
        </w:rPr>
        <w:t xml:space="preserve">ny model for regulatory </w:t>
      </w:r>
      <w:r w:rsidR="00533794">
        <w:rPr>
          <w:rFonts w:asciiTheme="minorHAnsi" w:eastAsiaTheme="minorHAnsi" w:hAnsiTheme="minorHAnsi"/>
          <w:szCs w:val="22"/>
          <w:lang w:eastAsia="en-US"/>
        </w:rPr>
        <w:t>design</w:t>
      </w:r>
      <w:r w:rsidR="003E2833" w:rsidRPr="009944E9">
        <w:rPr>
          <w:rFonts w:asciiTheme="minorHAnsi" w:eastAsiaTheme="minorHAnsi" w:hAnsiTheme="minorHAnsi"/>
          <w:szCs w:val="22"/>
          <w:lang w:eastAsia="en-US"/>
        </w:rPr>
        <w:t xml:space="preserve"> needs to allow for adaptation as regulatory effects become better known and new challenges emerge.  </w:t>
      </w:r>
      <w:r w:rsidR="00C01DE2">
        <w:rPr>
          <w:rFonts w:asciiTheme="minorHAnsi" w:eastAsiaTheme="minorHAnsi" w:hAnsiTheme="minorHAnsi"/>
          <w:szCs w:val="22"/>
          <w:lang w:eastAsia="en-US"/>
        </w:rPr>
        <w:t xml:space="preserve">Central to </w:t>
      </w:r>
      <w:r>
        <w:rPr>
          <w:rFonts w:asciiTheme="minorHAnsi" w:eastAsiaTheme="minorHAnsi" w:hAnsiTheme="minorHAnsi"/>
          <w:szCs w:val="22"/>
          <w:lang w:eastAsia="en-US"/>
        </w:rPr>
        <w:t>an</w:t>
      </w:r>
      <w:r w:rsidR="00C01DE2" w:rsidRPr="009944E9">
        <w:rPr>
          <w:rFonts w:asciiTheme="minorHAnsi" w:eastAsiaTheme="minorHAnsi" w:hAnsiTheme="minorHAnsi"/>
          <w:szCs w:val="22"/>
          <w:lang w:eastAsia="en-US"/>
        </w:rPr>
        <w:t xml:space="preserve"> agile and dynamic</w:t>
      </w:r>
      <w:r w:rsidR="00F52F60" w:rsidRPr="009944E9">
        <w:rPr>
          <w:rFonts w:asciiTheme="minorHAnsi" w:eastAsiaTheme="minorHAnsi" w:hAnsiTheme="minorHAnsi"/>
          <w:szCs w:val="22"/>
          <w:lang w:eastAsia="en-US"/>
        </w:rPr>
        <w:t xml:space="preserve"> </w:t>
      </w:r>
      <w:r w:rsidR="00533794">
        <w:rPr>
          <w:rFonts w:asciiTheme="minorHAnsi" w:eastAsiaTheme="minorHAnsi" w:hAnsiTheme="minorHAnsi"/>
          <w:szCs w:val="22"/>
          <w:lang w:eastAsia="en-US"/>
        </w:rPr>
        <w:t>response</w:t>
      </w:r>
      <w:r w:rsidR="00F52F60" w:rsidRPr="009944E9">
        <w:rPr>
          <w:rFonts w:asciiTheme="minorHAnsi" w:eastAsiaTheme="minorHAnsi" w:hAnsiTheme="minorHAnsi"/>
          <w:szCs w:val="22"/>
          <w:lang w:eastAsia="en-US"/>
        </w:rPr>
        <w:t xml:space="preserve"> </w:t>
      </w:r>
      <w:r w:rsidR="00C01DE2">
        <w:rPr>
          <w:rFonts w:asciiTheme="minorHAnsi" w:eastAsiaTheme="minorHAnsi" w:hAnsiTheme="minorHAnsi"/>
          <w:szCs w:val="22"/>
          <w:lang w:eastAsia="en-US"/>
        </w:rPr>
        <w:t>is</w:t>
      </w:r>
      <w:r w:rsidR="00F52F60" w:rsidRPr="009944E9">
        <w:rPr>
          <w:rFonts w:asciiTheme="minorHAnsi" w:eastAsiaTheme="minorHAnsi" w:hAnsiTheme="minorHAnsi"/>
          <w:szCs w:val="22"/>
          <w:lang w:eastAsia="en-US"/>
        </w:rPr>
        <w:t xml:space="preserve"> a carefully constructed hierarchy of regulations, assigning </w:t>
      </w:r>
      <w:r>
        <w:rPr>
          <w:rFonts w:asciiTheme="minorHAnsi" w:eastAsiaTheme="minorHAnsi" w:hAnsiTheme="minorHAnsi"/>
          <w:szCs w:val="22"/>
          <w:lang w:eastAsia="en-US"/>
        </w:rPr>
        <w:t>each</w:t>
      </w:r>
      <w:r w:rsidR="00F52F60">
        <w:t xml:space="preserve"> rule-</w:t>
      </w:r>
      <w:r w:rsidR="00F52F60" w:rsidRPr="009944E9">
        <w:rPr>
          <w:rFonts w:asciiTheme="minorHAnsi" w:eastAsiaTheme="minorHAnsi" w:hAnsiTheme="minorHAnsi"/>
          <w:szCs w:val="22"/>
          <w:lang w:eastAsia="en-US"/>
        </w:rPr>
        <w:t>making function to the right level and devolving decision</w:t>
      </w:r>
      <w:r w:rsidR="00C01DE2">
        <w:rPr>
          <w:rFonts w:asciiTheme="minorHAnsi" w:eastAsiaTheme="minorHAnsi" w:hAnsiTheme="minorHAnsi"/>
          <w:szCs w:val="22"/>
          <w:lang w:eastAsia="en-US"/>
        </w:rPr>
        <w:t>-</w:t>
      </w:r>
      <w:r w:rsidR="00F52F60" w:rsidRPr="009944E9">
        <w:rPr>
          <w:rFonts w:asciiTheme="minorHAnsi" w:eastAsiaTheme="minorHAnsi" w:hAnsiTheme="minorHAnsi"/>
          <w:szCs w:val="22"/>
          <w:lang w:eastAsia="en-US"/>
        </w:rPr>
        <w:t xml:space="preserve">making down the hierarchy where quicker responses </w:t>
      </w:r>
      <w:r w:rsidR="00C01DE2">
        <w:rPr>
          <w:rFonts w:asciiTheme="minorHAnsi" w:eastAsiaTheme="minorHAnsi" w:hAnsiTheme="minorHAnsi"/>
          <w:szCs w:val="22"/>
          <w:lang w:eastAsia="en-US"/>
        </w:rPr>
        <w:t xml:space="preserve">to changing circumstances </w:t>
      </w:r>
      <w:r w:rsidR="00F52F60" w:rsidRPr="009944E9">
        <w:rPr>
          <w:rFonts w:asciiTheme="minorHAnsi" w:eastAsiaTheme="minorHAnsi" w:hAnsiTheme="minorHAnsi"/>
          <w:szCs w:val="22"/>
          <w:lang w:eastAsia="en-US"/>
        </w:rPr>
        <w:t>may be required.</w:t>
      </w:r>
      <w:r w:rsidR="00533794">
        <w:rPr>
          <w:rFonts w:asciiTheme="minorHAnsi" w:eastAsiaTheme="minorHAnsi" w:hAnsiTheme="minorHAnsi"/>
          <w:szCs w:val="22"/>
          <w:lang w:eastAsia="en-US"/>
        </w:rPr>
        <w:t xml:space="preserve">  </w:t>
      </w:r>
    </w:p>
    <w:p w:rsidR="008C1204" w:rsidRDefault="00F52F60" w:rsidP="00533794">
      <w:pPr>
        <w:spacing w:after="120" w:line="276" w:lineRule="auto"/>
        <w:rPr>
          <w:rFonts w:asciiTheme="minorHAnsi" w:eastAsiaTheme="minorHAnsi" w:hAnsiTheme="minorHAnsi"/>
          <w:szCs w:val="22"/>
          <w:lang w:eastAsia="en-US"/>
        </w:rPr>
      </w:pPr>
      <w:r w:rsidRPr="00533794">
        <w:rPr>
          <w:rFonts w:asciiTheme="minorHAnsi" w:eastAsiaTheme="minorHAnsi" w:hAnsiTheme="minorHAnsi"/>
          <w:szCs w:val="22"/>
          <w:lang w:eastAsia="en-US"/>
        </w:rPr>
        <w:t>In simple terms</w:t>
      </w:r>
      <w:r w:rsidR="00E472DF" w:rsidRPr="00533794">
        <w:rPr>
          <w:rFonts w:asciiTheme="minorHAnsi" w:eastAsiaTheme="minorHAnsi" w:hAnsiTheme="minorHAnsi"/>
          <w:szCs w:val="22"/>
          <w:lang w:eastAsia="en-US"/>
        </w:rPr>
        <w:t xml:space="preserve">, as </w:t>
      </w:r>
      <w:r w:rsidRPr="00533794">
        <w:rPr>
          <w:rFonts w:asciiTheme="minorHAnsi" w:eastAsiaTheme="minorHAnsi" w:hAnsiTheme="minorHAnsi"/>
          <w:szCs w:val="22"/>
          <w:lang w:eastAsia="en-US"/>
        </w:rPr>
        <w:t xml:space="preserve">legislation </w:t>
      </w:r>
      <w:r w:rsidR="00344D5F" w:rsidRPr="00533794">
        <w:rPr>
          <w:rFonts w:asciiTheme="minorHAnsi" w:eastAsiaTheme="minorHAnsi" w:hAnsiTheme="minorHAnsi"/>
          <w:szCs w:val="22"/>
          <w:lang w:eastAsia="en-US"/>
        </w:rPr>
        <w:t xml:space="preserve">made by the Parliament </w:t>
      </w:r>
      <w:r w:rsidRPr="00533794">
        <w:rPr>
          <w:rFonts w:asciiTheme="minorHAnsi" w:eastAsiaTheme="minorHAnsi" w:hAnsiTheme="minorHAnsi"/>
          <w:szCs w:val="22"/>
          <w:lang w:eastAsia="en-US"/>
        </w:rPr>
        <w:t xml:space="preserve">is typically hard to change, it should contain only those </w:t>
      </w:r>
      <w:r w:rsidR="00344D5F" w:rsidRPr="00533794">
        <w:rPr>
          <w:rFonts w:asciiTheme="minorHAnsi" w:eastAsiaTheme="minorHAnsi" w:hAnsiTheme="minorHAnsi"/>
          <w:szCs w:val="22"/>
          <w:lang w:eastAsia="en-US"/>
        </w:rPr>
        <w:t xml:space="preserve">fundamental </w:t>
      </w:r>
      <w:r w:rsidRPr="00533794">
        <w:rPr>
          <w:rFonts w:asciiTheme="minorHAnsi" w:eastAsiaTheme="minorHAnsi" w:hAnsiTheme="minorHAnsi"/>
          <w:szCs w:val="22"/>
          <w:lang w:eastAsia="en-US"/>
        </w:rPr>
        <w:t xml:space="preserve">ideas and principles that </w:t>
      </w:r>
      <w:r w:rsidR="00344D5F" w:rsidRPr="00533794">
        <w:rPr>
          <w:rFonts w:asciiTheme="minorHAnsi" w:eastAsiaTheme="minorHAnsi" w:hAnsiTheme="minorHAnsi"/>
          <w:szCs w:val="22"/>
          <w:lang w:eastAsia="en-US"/>
        </w:rPr>
        <w:t>can be expected</w:t>
      </w:r>
      <w:r w:rsidRPr="00533794">
        <w:rPr>
          <w:rFonts w:asciiTheme="minorHAnsi" w:eastAsiaTheme="minorHAnsi" w:hAnsiTheme="minorHAnsi"/>
          <w:szCs w:val="22"/>
          <w:lang w:eastAsia="en-US"/>
        </w:rPr>
        <w:t xml:space="preserve"> </w:t>
      </w:r>
      <w:r w:rsidR="00CA6BBD">
        <w:rPr>
          <w:rFonts w:asciiTheme="minorHAnsi" w:eastAsiaTheme="minorHAnsi" w:hAnsiTheme="minorHAnsi"/>
          <w:szCs w:val="22"/>
          <w:lang w:eastAsia="en-US"/>
        </w:rPr>
        <w:t xml:space="preserve">to </w:t>
      </w:r>
      <w:r w:rsidRPr="00533794">
        <w:rPr>
          <w:rFonts w:asciiTheme="minorHAnsi" w:eastAsiaTheme="minorHAnsi" w:hAnsiTheme="minorHAnsi"/>
          <w:szCs w:val="22"/>
          <w:lang w:eastAsia="en-US"/>
        </w:rPr>
        <w:t xml:space="preserve">last. </w:t>
      </w:r>
      <w:r w:rsidR="00533794" w:rsidRPr="00533794">
        <w:rPr>
          <w:rFonts w:asciiTheme="minorHAnsi" w:eastAsiaTheme="minorHAnsi" w:hAnsiTheme="minorHAnsi"/>
          <w:szCs w:val="22"/>
          <w:lang w:eastAsia="en-US"/>
        </w:rPr>
        <w:t xml:space="preserve"> </w:t>
      </w:r>
      <w:r w:rsidRPr="00533794">
        <w:rPr>
          <w:rFonts w:asciiTheme="minorHAnsi" w:eastAsiaTheme="minorHAnsi" w:hAnsiTheme="minorHAnsi"/>
          <w:szCs w:val="22"/>
          <w:lang w:eastAsia="en-US"/>
        </w:rPr>
        <w:t>Subsidiary instruments</w:t>
      </w:r>
      <w:r w:rsidR="00344D5F" w:rsidRPr="00533794">
        <w:rPr>
          <w:rFonts w:asciiTheme="minorHAnsi" w:eastAsiaTheme="minorHAnsi" w:hAnsiTheme="minorHAnsi"/>
          <w:szCs w:val="22"/>
          <w:lang w:eastAsia="en-US"/>
        </w:rPr>
        <w:t>,</w:t>
      </w:r>
      <w:r w:rsidRPr="00533794">
        <w:rPr>
          <w:rFonts w:asciiTheme="minorHAnsi" w:eastAsiaTheme="minorHAnsi" w:hAnsiTheme="minorHAnsi"/>
          <w:szCs w:val="22"/>
          <w:lang w:eastAsia="en-US"/>
        </w:rPr>
        <w:t xml:space="preserve"> such as ministerial determinations, regulations and other </w:t>
      </w:r>
      <w:r w:rsidR="00344D5F" w:rsidRPr="00533794">
        <w:rPr>
          <w:rFonts w:asciiTheme="minorHAnsi" w:eastAsiaTheme="minorHAnsi" w:hAnsiTheme="minorHAnsi"/>
          <w:szCs w:val="22"/>
          <w:lang w:eastAsia="en-US"/>
        </w:rPr>
        <w:t xml:space="preserve">binding </w:t>
      </w:r>
      <w:r w:rsidRPr="00533794">
        <w:rPr>
          <w:rFonts w:asciiTheme="minorHAnsi" w:eastAsiaTheme="minorHAnsi" w:hAnsiTheme="minorHAnsi"/>
          <w:szCs w:val="22"/>
          <w:lang w:eastAsia="en-US"/>
        </w:rPr>
        <w:t>legislative instruments can respond more quickly to technological and contextual changes</w:t>
      </w:r>
      <w:r w:rsidR="002511EF">
        <w:rPr>
          <w:rFonts w:asciiTheme="minorHAnsi" w:eastAsiaTheme="minorHAnsi" w:hAnsiTheme="minorHAnsi"/>
          <w:szCs w:val="22"/>
          <w:lang w:eastAsia="en-US"/>
        </w:rPr>
        <w:t xml:space="preserve"> and can therefore contain some operational detail</w:t>
      </w:r>
      <w:r w:rsidRPr="00533794">
        <w:rPr>
          <w:rFonts w:asciiTheme="minorHAnsi" w:eastAsiaTheme="minorHAnsi" w:hAnsiTheme="minorHAnsi"/>
          <w:szCs w:val="22"/>
          <w:lang w:eastAsia="en-US"/>
        </w:rPr>
        <w:t>.</w:t>
      </w:r>
      <w:r w:rsidRPr="00533794">
        <w:t xml:space="preserve"> </w:t>
      </w:r>
      <w:r w:rsidRPr="00533794">
        <w:rPr>
          <w:rFonts w:asciiTheme="minorHAnsi" w:eastAsiaTheme="minorHAnsi" w:hAnsiTheme="minorHAnsi"/>
          <w:szCs w:val="22"/>
          <w:lang w:eastAsia="en-US"/>
        </w:rPr>
        <w:t>Non-</w:t>
      </w:r>
      <w:r w:rsidR="00344D5F" w:rsidRPr="00533794">
        <w:rPr>
          <w:rFonts w:asciiTheme="minorHAnsi" w:eastAsiaTheme="minorHAnsi" w:hAnsiTheme="minorHAnsi"/>
          <w:szCs w:val="22"/>
          <w:lang w:eastAsia="en-US"/>
        </w:rPr>
        <w:t>legislative</w:t>
      </w:r>
      <w:r w:rsidRPr="00533794">
        <w:rPr>
          <w:rFonts w:asciiTheme="minorHAnsi" w:eastAsiaTheme="minorHAnsi" w:hAnsiTheme="minorHAnsi"/>
          <w:szCs w:val="22"/>
          <w:lang w:eastAsia="en-US"/>
        </w:rPr>
        <w:t xml:space="preserve"> instruments, such as standards and </w:t>
      </w:r>
      <w:r w:rsidR="00344D5F" w:rsidRPr="00533794">
        <w:rPr>
          <w:rFonts w:asciiTheme="minorHAnsi" w:eastAsiaTheme="minorHAnsi" w:hAnsiTheme="minorHAnsi"/>
          <w:szCs w:val="22"/>
          <w:lang w:eastAsia="en-US"/>
        </w:rPr>
        <w:t xml:space="preserve">guidance issued by </w:t>
      </w:r>
      <w:r w:rsidRPr="00533794">
        <w:rPr>
          <w:rFonts w:asciiTheme="minorHAnsi" w:eastAsiaTheme="minorHAnsi" w:hAnsiTheme="minorHAnsi"/>
          <w:szCs w:val="22"/>
          <w:lang w:eastAsia="en-US"/>
        </w:rPr>
        <w:t>regulators</w:t>
      </w:r>
      <w:r w:rsidR="00CA4BC1" w:rsidRPr="00533794">
        <w:rPr>
          <w:rFonts w:asciiTheme="minorHAnsi" w:eastAsiaTheme="minorHAnsi" w:hAnsiTheme="minorHAnsi"/>
          <w:szCs w:val="22"/>
          <w:lang w:eastAsia="en-US"/>
        </w:rPr>
        <w:t xml:space="preserve">, </w:t>
      </w:r>
      <w:r w:rsidRPr="00533794">
        <w:rPr>
          <w:rFonts w:asciiTheme="minorHAnsi" w:eastAsiaTheme="minorHAnsi" w:hAnsiTheme="minorHAnsi"/>
          <w:szCs w:val="22"/>
          <w:lang w:eastAsia="en-US"/>
        </w:rPr>
        <w:t xml:space="preserve">complete the package. </w:t>
      </w:r>
      <w:r w:rsidR="00533794">
        <w:rPr>
          <w:rFonts w:asciiTheme="minorHAnsi" w:eastAsiaTheme="minorHAnsi" w:hAnsiTheme="minorHAnsi"/>
          <w:szCs w:val="22"/>
          <w:lang w:eastAsia="en-US"/>
        </w:rPr>
        <w:t xml:space="preserve"> </w:t>
      </w:r>
      <w:r w:rsidR="00533794" w:rsidRPr="00533794">
        <w:rPr>
          <w:rFonts w:asciiTheme="minorHAnsi" w:hAnsiTheme="minorHAnsi"/>
          <w:szCs w:val="22"/>
        </w:rPr>
        <w:t>A good example</w:t>
      </w:r>
      <w:r w:rsidR="00533794" w:rsidRPr="00533794">
        <w:t xml:space="preserve"> of this form of regulatory design</w:t>
      </w:r>
      <w:r w:rsidR="00533794" w:rsidRPr="00533794">
        <w:rPr>
          <w:rFonts w:asciiTheme="minorHAnsi" w:hAnsiTheme="minorHAnsi"/>
          <w:szCs w:val="22"/>
        </w:rPr>
        <w:t xml:space="preserve"> is the Consumer Data Right and Open Banking.</w:t>
      </w:r>
      <w:r w:rsidR="00533794" w:rsidRPr="009944E9">
        <w:rPr>
          <w:rFonts w:asciiTheme="minorHAnsi" w:hAnsiTheme="minorHAnsi"/>
          <w:szCs w:val="22"/>
        </w:rPr>
        <w:t xml:space="preserve">  </w:t>
      </w:r>
    </w:p>
    <w:p w:rsidR="00F52F60" w:rsidRPr="007861E6" w:rsidRDefault="00F52F60" w:rsidP="00F52F60">
      <w:pPr>
        <w:pBdr>
          <w:top w:val="single" w:sz="4" w:space="1" w:color="auto"/>
          <w:left w:val="single" w:sz="4" w:space="4" w:color="auto"/>
          <w:bottom w:val="single" w:sz="4" w:space="1" w:color="auto"/>
          <w:right w:val="single" w:sz="4" w:space="4" w:color="auto"/>
        </w:pBdr>
        <w:shd w:val="clear" w:color="auto" w:fill="DBE5F1" w:themeFill="accent1" w:themeFillTint="33"/>
        <w:spacing w:after="120"/>
        <w:rPr>
          <w:b/>
        </w:rPr>
      </w:pPr>
      <w:r>
        <w:rPr>
          <w:b/>
        </w:rPr>
        <w:t>EXAMPLE</w:t>
      </w:r>
    </w:p>
    <w:p w:rsidR="00F52F60" w:rsidRPr="009944E9" w:rsidRDefault="00F52F60" w:rsidP="00F52F60">
      <w:pPr>
        <w:pBdr>
          <w:top w:val="single" w:sz="4" w:space="1" w:color="auto"/>
          <w:left w:val="single" w:sz="4" w:space="4" w:color="auto"/>
          <w:bottom w:val="single" w:sz="4" w:space="1" w:color="auto"/>
          <w:right w:val="single" w:sz="4" w:space="4" w:color="auto"/>
        </w:pBdr>
        <w:shd w:val="clear" w:color="auto" w:fill="DBE5F1" w:themeFill="accent1" w:themeFillTint="33"/>
        <w:spacing w:after="120" w:line="276" w:lineRule="auto"/>
        <w:rPr>
          <w:rFonts w:asciiTheme="minorHAnsi" w:hAnsiTheme="minorHAnsi"/>
          <w:szCs w:val="22"/>
        </w:rPr>
      </w:pPr>
      <w:r w:rsidRPr="009944E9">
        <w:rPr>
          <w:rFonts w:asciiTheme="minorHAnsi" w:hAnsiTheme="minorHAnsi"/>
          <w:szCs w:val="22"/>
        </w:rPr>
        <w:t>The Consumer Data Right gives customers greater access to and control over their data</w:t>
      </w:r>
      <w:r w:rsidR="004211E8">
        <w:rPr>
          <w:rFonts w:asciiTheme="minorHAnsi" w:hAnsiTheme="minorHAnsi"/>
          <w:szCs w:val="22"/>
        </w:rPr>
        <w:t xml:space="preserve"> by requiring it to be shared at a customer’s express direction and</w:t>
      </w:r>
      <w:r w:rsidRPr="009944E9">
        <w:rPr>
          <w:rFonts w:asciiTheme="minorHAnsi" w:hAnsiTheme="minorHAnsi"/>
          <w:szCs w:val="22"/>
        </w:rPr>
        <w:t xml:space="preserve"> in a machine readable form. It will be implemented economy-wide on a sector-by-sector basis, initially in the banking, energy, and telecommunications sectors.  Open Banking </w:t>
      </w:r>
      <w:r w:rsidR="002511EF">
        <w:rPr>
          <w:rFonts w:asciiTheme="minorHAnsi" w:hAnsiTheme="minorHAnsi"/>
          <w:szCs w:val="22"/>
        </w:rPr>
        <w:sym w:font="Symbol" w:char="F0BE"/>
      </w:r>
      <w:r w:rsidRPr="009944E9">
        <w:rPr>
          <w:rFonts w:asciiTheme="minorHAnsi" w:hAnsiTheme="minorHAnsi"/>
          <w:szCs w:val="22"/>
        </w:rPr>
        <w:t xml:space="preserve"> the </w:t>
      </w:r>
      <w:r w:rsidR="00E472DF">
        <w:rPr>
          <w:rFonts w:asciiTheme="minorHAnsi" w:hAnsiTheme="minorHAnsi"/>
          <w:szCs w:val="22"/>
        </w:rPr>
        <w:t>Consumer Data Right</w:t>
      </w:r>
      <w:r w:rsidRPr="009944E9">
        <w:rPr>
          <w:rFonts w:asciiTheme="minorHAnsi" w:hAnsiTheme="minorHAnsi"/>
          <w:szCs w:val="22"/>
        </w:rPr>
        <w:t xml:space="preserve"> for banking data </w:t>
      </w:r>
      <w:r w:rsidR="002511EF">
        <w:rPr>
          <w:rFonts w:asciiTheme="minorHAnsi" w:hAnsiTheme="minorHAnsi"/>
          <w:szCs w:val="22"/>
        </w:rPr>
        <w:sym w:font="Symbol" w:char="F0BE"/>
      </w:r>
      <w:r w:rsidRPr="009944E9">
        <w:rPr>
          <w:rFonts w:asciiTheme="minorHAnsi" w:hAnsiTheme="minorHAnsi"/>
          <w:szCs w:val="22"/>
        </w:rPr>
        <w:t xml:space="preserve"> will be the first sector in which the right will be established. The Consumer Data Right has the potential to transform the way in which customers use and benefit from their information.</w:t>
      </w:r>
      <w:r w:rsidR="00051ABF">
        <w:rPr>
          <w:rStyle w:val="FootnoteReference"/>
          <w:rFonts w:asciiTheme="minorHAnsi" w:hAnsiTheme="minorHAnsi"/>
          <w:szCs w:val="22"/>
        </w:rPr>
        <w:footnoteReference w:id="8"/>
      </w:r>
    </w:p>
    <w:p w:rsidR="00F52F60" w:rsidRPr="009944E9" w:rsidRDefault="00F52F60" w:rsidP="00F52F60">
      <w:pPr>
        <w:pBdr>
          <w:top w:val="single" w:sz="4" w:space="1" w:color="auto"/>
          <w:left w:val="single" w:sz="4" w:space="4" w:color="auto"/>
          <w:bottom w:val="single" w:sz="4" w:space="1" w:color="auto"/>
          <w:right w:val="single" w:sz="4" w:space="4" w:color="auto"/>
        </w:pBdr>
        <w:shd w:val="clear" w:color="auto" w:fill="DBE5F1" w:themeFill="accent1" w:themeFillTint="33"/>
        <w:spacing w:after="120" w:line="276" w:lineRule="auto"/>
        <w:rPr>
          <w:rFonts w:asciiTheme="minorHAnsi" w:hAnsiTheme="minorHAnsi"/>
          <w:szCs w:val="22"/>
        </w:rPr>
      </w:pPr>
      <w:r w:rsidRPr="009944E9">
        <w:rPr>
          <w:rFonts w:asciiTheme="minorHAnsi" w:hAnsiTheme="minorHAnsi"/>
          <w:szCs w:val="22"/>
        </w:rPr>
        <w:t xml:space="preserve">The Open Banking Review made the recommendation that Open Banking and the Consumer Data Right should be established with a set of rules general </w:t>
      </w:r>
      <w:r w:rsidR="00CA4BC1">
        <w:rPr>
          <w:rFonts w:asciiTheme="minorHAnsi" w:hAnsiTheme="minorHAnsi"/>
          <w:szCs w:val="22"/>
        </w:rPr>
        <w:t xml:space="preserve">and flexible </w:t>
      </w:r>
      <w:r w:rsidRPr="009944E9">
        <w:rPr>
          <w:rFonts w:asciiTheme="minorHAnsi" w:hAnsiTheme="minorHAnsi"/>
          <w:szCs w:val="22"/>
        </w:rPr>
        <w:t>enough to facilitate innovation.  This would be done by a coherent hierarchy of regulations, where the</w:t>
      </w:r>
      <w:r w:rsidR="00CA4BC1">
        <w:rPr>
          <w:rFonts w:asciiTheme="minorHAnsi" w:hAnsiTheme="minorHAnsi"/>
          <w:szCs w:val="22"/>
        </w:rPr>
        <w:t xml:space="preserve"> primary</w:t>
      </w:r>
      <w:r w:rsidRPr="009944E9">
        <w:rPr>
          <w:rFonts w:asciiTheme="minorHAnsi" w:hAnsiTheme="minorHAnsi"/>
          <w:szCs w:val="22"/>
        </w:rPr>
        <w:t xml:space="preserve"> law sets out the enduring principles, for example, that a participant be ‘accredited’ to participate</w:t>
      </w:r>
      <w:r w:rsidR="00CA4BC1">
        <w:rPr>
          <w:rFonts w:asciiTheme="minorHAnsi" w:hAnsiTheme="minorHAnsi"/>
          <w:szCs w:val="22"/>
        </w:rPr>
        <w:t>.</w:t>
      </w:r>
      <w:r w:rsidRPr="009944E9">
        <w:rPr>
          <w:rFonts w:asciiTheme="minorHAnsi" w:hAnsiTheme="minorHAnsi"/>
          <w:szCs w:val="22"/>
        </w:rPr>
        <w:t xml:space="preserve"> </w:t>
      </w:r>
      <w:r w:rsidR="00CA4BC1">
        <w:rPr>
          <w:rFonts w:asciiTheme="minorHAnsi" w:hAnsiTheme="minorHAnsi"/>
          <w:szCs w:val="22"/>
        </w:rPr>
        <w:t>T</w:t>
      </w:r>
      <w:r w:rsidRPr="009944E9">
        <w:rPr>
          <w:rFonts w:asciiTheme="minorHAnsi" w:hAnsiTheme="minorHAnsi"/>
          <w:szCs w:val="22"/>
        </w:rPr>
        <w:t xml:space="preserve">he rules for that accreditation </w:t>
      </w:r>
      <w:r w:rsidR="00CA4BC1">
        <w:rPr>
          <w:rFonts w:asciiTheme="minorHAnsi" w:hAnsiTheme="minorHAnsi"/>
          <w:szCs w:val="22"/>
        </w:rPr>
        <w:t>are</w:t>
      </w:r>
      <w:r w:rsidR="00CA4BC1" w:rsidRPr="009944E9">
        <w:rPr>
          <w:rFonts w:asciiTheme="minorHAnsi" w:hAnsiTheme="minorHAnsi"/>
          <w:szCs w:val="22"/>
        </w:rPr>
        <w:t xml:space="preserve"> </w:t>
      </w:r>
      <w:r w:rsidR="00CA4BC1">
        <w:rPr>
          <w:rFonts w:asciiTheme="minorHAnsi" w:hAnsiTheme="minorHAnsi"/>
          <w:szCs w:val="22"/>
        </w:rPr>
        <w:t>then</w:t>
      </w:r>
      <w:r w:rsidR="00CA4BC1" w:rsidRPr="009944E9">
        <w:rPr>
          <w:rFonts w:asciiTheme="minorHAnsi" w:hAnsiTheme="minorHAnsi"/>
          <w:szCs w:val="22"/>
        </w:rPr>
        <w:t xml:space="preserve"> </w:t>
      </w:r>
      <w:r w:rsidRPr="009944E9">
        <w:rPr>
          <w:rFonts w:asciiTheme="minorHAnsi" w:hAnsiTheme="minorHAnsi"/>
          <w:szCs w:val="22"/>
        </w:rPr>
        <w:t>set by the regulator from time to time</w:t>
      </w:r>
      <w:r w:rsidR="002511EF">
        <w:rPr>
          <w:rFonts w:asciiTheme="minorHAnsi" w:hAnsiTheme="minorHAnsi"/>
          <w:szCs w:val="22"/>
        </w:rPr>
        <w:t xml:space="preserve"> and promulgated as second tier regulations.  The most </w:t>
      </w:r>
      <w:r w:rsidRPr="009944E9">
        <w:rPr>
          <w:rFonts w:asciiTheme="minorHAnsi" w:hAnsiTheme="minorHAnsi"/>
          <w:szCs w:val="22"/>
        </w:rPr>
        <w:t xml:space="preserve">particular and granular standards are determined </w:t>
      </w:r>
      <w:r w:rsidR="00CA4BC1" w:rsidRPr="009944E9">
        <w:rPr>
          <w:rFonts w:asciiTheme="minorHAnsi" w:hAnsiTheme="minorHAnsi"/>
          <w:szCs w:val="22"/>
        </w:rPr>
        <w:t xml:space="preserve">by an appropriate body </w:t>
      </w:r>
      <w:r w:rsidRPr="009944E9">
        <w:rPr>
          <w:rFonts w:asciiTheme="minorHAnsi" w:hAnsiTheme="minorHAnsi"/>
          <w:szCs w:val="22"/>
        </w:rPr>
        <w:t>as non-binding, but strongly influential industry standards.</w:t>
      </w:r>
      <w:r w:rsidR="002511EF">
        <w:rPr>
          <w:rFonts w:asciiTheme="minorHAnsi" w:hAnsiTheme="minorHAnsi"/>
          <w:szCs w:val="22"/>
        </w:rPr>
        <w:t xml:space="preserve">  These can evolve and be changed as quickly as necessary.</w:t>
      </w:r>
    </w:p>
    <w:p w:rsidR="002511EF" w:rsidRDefault="002511EF">
      <w:pPr>
        <w:spacing w:after="0"/>
        <w:rPr>
          <w:rFonts w:asciiTheme="minorHAnsi" w:hAnsiTheme="minorHAnsi"/>
          <w:szCs w:val="22"/>
        </w:rPr>
      </w:pPr>
      <w:r>
        <w:rPr>
          <w:rFonts w:asciiTheme="minorHAnsi" w:hAnsiTheme="minorHAnsi"/>
          <w:szCs w:val="22"/>
        </w:rPr>
        <w:br w:type="page"/>
      </w:r>
    </w:p>
    <w:p w:rsidR="00533794" w:rsidRDefault="00533794" w:rsidP="00F52F60">
      <w:pPr>
        <w:spacing w:after="120" w:line="276" w:lineRule="auto"/>
        <w:rPr>
          <w:rFonts w:asciiTheme="minorHAnsi" w:eastAsiaTheme="minorHAnsi" w:hAnsiTheme="minorHAnsi"/>
          <w:szCs w:val="22"/>
          <w:lang w:eastAsia="en-US"/>
        </w:rPr>
      </w:pPr>
      <w:r>
        <w:rPr>
          <w:rFonts w:asciiTheme="minorHAnsi" w:hAnsiTheme="minorHAnsi"/>
          <w:szCs w:val="22"/>
        </w:rPr>
        <w:lastRenderedPageBreak/>
        <w:t xml:space="preserve">Next we need to establish </w:t>
      </w:r>
      <w:r w:rsidRPr="009944E9">
        <w:rPr>
          <w:rFonts w:asciiTheme="minorHAnsi" w:hAnsiTheme="minorHAnsi"/>
          <w:szCs w:val="22"/>
        </w:rPr>
        <w:t>a system for continually assessing and improving the existing stock of regulations.</w:t>
      </w:r>
      <w:r>
        <w:rPr>
          <w:rFonts w:asciiTheme="minorHAnsi" w:hAnsiTheme="minorHAnsi"/>
          <w:szCs w:val="22"/>
        </w:rPr>
        <w:t xml:space="preserve"> </w:t>
      </w:r>
      <w:r w:rsidRPr="009944E9">
        <w:rPr>
          <w:rFonts w:asciiTheme="minorHAnsi" w:eastAsiaTheme="minorHAnsi" w:hAnsiTheme="minorHAnsi"/>
          <w:szCs w:val="22"/>
          <w:lang w:eastAsia="en-US"/>
        </w:rPr>
        <w:t xml:space="preserve">History shows that </w:t>
      </w:r>
      <w:r>
        <w:rPr>
          <w:rFonts w:asciiTheme="minorHAnsi" w:eastAsiaTheme="minorHAnsi" w:hAnsiTheme="minorHAnsi"/>
          <w:szCs w:val="22"/>
          <w:lang w:eastAsia="en-US"/>
        </w:rPr>
        <w:t>those proposing</w:t>
      </w:r>
      <w:r w:rsidRPr="009944E9">
        <w:rPr>
          <w:rFonts w:asciiTheme="minorHAnsi" w:eastAsiaTheme="minorHAnsi" w:hAnsiTheme="minorHAnsi"/>
          <w:szCs w:val="22"/>
          <w:lang w:eastAsia="en-US"/>
        </w:rPr>
        <w:t xml:space="preserve"> </w:t>
      </w:r>
      <w:r>
        <w:rPr>
          <w:rFonts w:asciiTheme="minorHAnsi" w:eastAsiaTheme="minorHAnsi" w:hAnsiTheme="minorHAnsi"/>
          <w:szCs w:val="22"/>
          <w:lang w:eastAsia="en-US"/>
        </w:rPr>
        <w:t xml:space="preserve">to </w:t>
      </w:r>
      <w:r w:rsidRPr="009944E9">
        <w:rPr>
          <w:rFonts w:asciiTheme="minorHAnsi" w:eastAsiaTheme="minorHAnsi" w:hAnsiTheme="minorHAnsi"/>
          <w:szCs w:val="22"/>
          <w:lang w:eastAsia="en-US"/>
        </w:rPr>
        <w:t xml:space="preserve">change </w:t>
      </w:r>
      <w:r>
        <w:rPr>
          <w:rFonts w:asciiTheme="minorHAnsi" w:eastAsiaTheme="minorHAnsi" w:hAnsiTheme="minorHAnsi"/>
          <w:szCs w:val="22"/>
          <w:lang w:eastAsia="en-US"/>
        </w:rPr>
        <w:t xml:space="preserve">community </w:t>
      </w:r>
      <w:r w:rsidRPr="009944E9">
        <w:rPr>
          <w:rFonts w:asciiTheme="minorHAnsi" w:eastAsiaTheme="minorHAnsi" w:hAnsiTheme="minorHAnsi"/>
          <w:szCs w:val="22"/>
          <w:lang w:eastAsia="en-US"/>
        </w:rPr>
        <w:t xml:space="preserve">behaviour </w:t>
      </w:r>
      <w:r w:rsidR="00094A55">
        <w:rPr>
          <w:rFonts w:asciiTheme="minorHAnsi" w:eastAsiaTheme="minorHAnsi" w:hAnsiTheme="minorHAnsi"/>
          <w:szCs w:val="22"/>
          <w:lang w:eastAsia="en-US"/>
        </w:rPr>
        <w:t>via</w:t>
      </w:r>
      <w:r w:rsidRPr="009944E9">
        <w:rPr>
          <w:rFonts w:asciiTheme="minorHAnsi" w:eastAsiaTheme="minorHAnsi" w:hAnsiTheme="minorHAnsi"/>
          <w:szCs w:val="22"/>
          <w:lang w:eastAsia="en-US"/>
        </w:rPr>
        <w:t xml:space="preserve"> regulation tend to overestimate </w:t>
      </w:r>
      <w:r w:rsidR="00094A55">
        <w:rPr>
          <w:rFonts w:asciiTheme="minorHAnsi" w:eastAsiaTheme="minorHAnsi" w:hAnsiTheme="minorHAnsi"/>
          <w:szCs w:val="22"/>
          <w:lang w:eastAsia="en-US"/>
        </w:rPr>
        <w:t>its</w:t>
      </w:r>
      <w:r w:rsidRPr="009944E9">
        <w:rPr>
          <w:rFonts w:asciiTheme="minorHAnsi" w:eastAsiaTheme="minorHAnsi" w:hAnsiTheme="minorHAnsi"/>
          <w:szCs w:val="22"/>
          <w:lang w:eastAsia="en-US"/>
        </w:rPr>
        <w:t xml:space="preserve"> benefits and underestimate the costs of their proposals</w:t>
      </w:r>
      <w:r>
        <w:rPr>
          <w:rFonts w:asciiTheme="minorHAnsi" w:eastAsiaTheme="minorHAnsi" w:hAnsiTheme="minorHAnsi"/>
          <w:szCs w:val="22"/>
          <w:lang w:eastAsia="en-US"/>
        </w:rPr>
        <w:t xml:space="preserve">.  This is true </w:t>
      </w:r>
      <w:r w:rsidRPr="009944E9">
        <w:rPr>
          <w:rFonts w:asciiTheme="minorHAnsi" w:eastAsiaTheme="minorHAnsi" w:hAnsiTheme="minorHAnsi"/>
          <w:szCs w:val="22"/>
          <w:lang w:eastAsia="en-US"/>
        </w:rPr>
        <w:t xml:space="preserve">both </w:t>
      </w:r>
      <w:r>
        <w:rPr>
          <w:rFonts w:asciiTheme="minorHAnsi" w:eastAsiaTheme="minorHAnsi" w:hAnsiTheme="minorHAnsi"/>
          <w:szCs w:val="22"/>
          <w:lang w:eastAsia="en-US"/>
        </w:rPr>
        <w:t xml:space="preserve">in the </w:t>
      </w:r>
      <w:r w:rsidRPr="009944E9">
        <w:rPr>
          <w:rFonts w:asciiTheme="minorHAnsi" w:eastAsiaTheme="minorHAnsi" w:hAnsiTheme="minorHAnsi"/>
          <w:szCs w:val="22"/>
          <w:lang w:eastAsia="en-US"/>
        </w:rPr>
        <w:t xml:space="preserve">long-term and </w:t>
      </w:r>
      <w:r>
        <w:rPr>
          <w:rFonts w:asciiTheme="minorHAnsi" w:eastAsiaTheme="minorHAnsi" w:hAnsiTheme="minorHAnsi"/>
          <w:szCs w:val="22"/>
          <w:lang w:eastAsia="en-US"/>
        </w:rPr>
        <w:t xml:space="preserve">in relation to </w:t>
      </w:r>
      <w:r w:rsidRPr="009944E9">
        <w:rPr>
          <w:rFonts w:asciiTheme="minorHAnsi" w:eastAsiaTheme="minorHAnsi" w:hAnsiTheme="minorHAnsi"/>
          <w:szCs w:val="22"/>
          <w:lang w:eastAsia="en-US"/>
        </w:rPr>
        <w:t xml:space="preserve">transitional costs.  </w:t>
      </w:r>
      <w:r>
        <w:rPr>
          <w:rFonts w:asciiTheme="minorHAnsi" w:eastAsiaTheme="minorHAnsi" w:hAnsiTheme="minorHAnsi"/>
          <w:szCs w:val="22"/>
          <w:lang w:eastAsia="en-US"/>
        </w:rPr>
        <w:t>While ef</w:t>
      </w:r>
      <w:r w:rsidRPr="009944E9">
        <w:rPr>
          <w:rFonts w:asciiTheme="minorHAnsi" w:eastAsiaTheme="minorHAnsi" w:hAnsiTheme="minorHAnsi"/>
          <w:szCs w:val="22"/>
          <w:lang w:eastAsia="en-US"/>
        </w:rPr>
        <w:t>fective stakeholder engagement in</w:t>
      </w:r>
      <w:r>
        <w:rPr>
          <w:rFonts w:asciiTheme="minorHAnsi" w:eastAsiaTheme="minorHAnsi" w:hAnsiTheme="minorHAnsi"/>
          <w:szCs w:val="22"/>
          <w:lang w:eastAsia="en-US"/>
        </w:rPr>
        <w:t xml:space="preserve"> the</w:t>
      </w:r>
      <w:r w:rsidRPr="009944E9">
        <w:rPr>
          <w:rFonts w:asciiTheme="minorHAnsi" w:eastAsiaTheme="minorHAnsi" w:hAnsiTheme="minorHAnsi"/>
          <w:szCs w:val="22"/>
          <w:lang w:eastAsia="en-US"/>
        </w:rPr>
        <w:t xml:space="preserve"> design</w:t>
      </w:r>
      <w:r>
        <w:rPr>
          <w:rFonts w:asciiTheme="minorHAnsi" w:eastAsiaTheme="minorHAnsi" w:hAnsiTheme="minorHAnsi"/>
          <w:szCs w:val="22"/>
          <w:lang w:eastAsia="en-US"/>
        </w:rPr>
        <w:t xml:space="preserve"> phase</w:t>
      </w:r>
      <w:r w:rsidRPr="009944E9">
        <w:rPr>
          <w:rFonts w:asciiTheme="minorHAnsi" w:eastAsiaTheme="minorHAnsi" w:hAnsiTheme="minorHAnsi"/>
          <w:szCs w:val="22"/>
          <w:lang w:eastAsia="en-US"/>
        </w:rPr>
        <w:t xml:space="preserve"> can </w:t>
      </w:r>
      <w:r>
        <w:rPr>
          <w:rFonts w:asciiTheme="minorHAnsi" w:eastAsiaTheme="minorHAnsi" w:hAnsiTheme="minorHAnsi"/>
          <w:szCs w:val="22"/>
          <w:lang w:eastAsia="en-US"/>
        </w:rPr>
        <w:t>go some way to addressing</w:t>
      </w:r>
      <w:r w:rsidRPr="009944E9">
        <w:rPr>
          <w:rFonts w:asciiTheme="minorHAnsi" w:eastAsiaTheme="minorHAnsi" w:hAnsiTheme="minorHAnsi"/>
          <w:szCs w:val="22"/>
          <w:lang w:eastAsia="en-US"/>
        </w:rPr>
        <w:t xml:space="preserve"> this, </w:t>
      </w:r>
      <w:r>
        <w:rPr>
          <w:rFonts w:asciiTheme="minorHAnsi" w:eastAsiaTheme="minorHAnsi" w:hAnsiTheme="minorHAnsi"/>
          <w:szCs w:val="22"/>
          <w:lang w:eastAsia="en-US"/>
        </w:rPr>
        <w:t xml:space="preserve">the biases and </w:t>
      </w:r>
      <w:r w:rsidRPr="009944E9">
        <w:rPr>
          <w:rFonts w:asciiTheme="minorHAnsi" w:eastAsiaTheme="minorHAnsi" w:hAnsiTheme="minorHAnsi"/>
          <w:szCs w:val="22"/>
          <w:lang w:eastAsia="en-US"/>
        </w:rPr>
        <w:t>over-</w:t>
      </w:r>
      <w:r>
        <w:t>confidence of reforming zeal mean that some defects of design, that will require correction in the light of experience, are likely to remain</w:t>
      </w:r>
      <w:r w:rsidRPr="009944E9">
        <w:rPr>
          <w:rFonts w:asciiTheme="minorHAnsi" w:eastAsiaTheme="minorHAnsi" w:hAnsiTheme="minorHAnsi"/>
          <w:szCs w:val="22"/>
          <w:lang w:eastAsia="en-US"/>
        </w:rPr>
        <w:t xml:space="preserve">.  </w:t>
      </w:r>
      <w:r w:rsidR="00844E90">
        <w:rPr>
          <w:rFonts w:asciiTheme="minorHAnsi" w:eastAsiaTheme="minorHAnsi" w:hAnsiTheme="minorHAnsi"/>
          <w:szCs w:val="22"/>
          <w:lang w:eastAsia="en-US"/>
        </w:rPr>
        <w:t>One-off reform efforts will not be sufficient.  What is required is a standing capacity, in proportion to the regulatory footprint of Departments, for systematic evaluation and action.</w:t>
      </w:r>
    </w:p>
    <w:p w:rsidR="00F52F60" w:rsidRPr="009944E9" w:rsidRDefault="00844E90" w:rsidP="00F52F60">
      <w:pPr>
        <w:spacing w:after="120" w:line="276" w:lineRule="auto"/>
        <w:rPr>
          <w:rFonts w:asciiTheme="minorHAnsi" w:hAnsiTheme="minorHAnsi"/>
          <w:szCs w:val="22"/>
        </w:rPr>
      </w:pPr>
      <w:r>
        <w:rPr>
          <w:rFonts w:asciiTheme="minorHAnsi" w:hAnsiTheme="minorHAnsi"/>
          <w:szCs w:val="22"/>
        </w:rPr>
        <w:t>This approach demands both</w:t>
      </w:r>
      <w:r w:rsidR="00F52F60" w:rsidRPr="009944E9">
        <w:rPr>
          <w:rFonts w:asciiTheme="minorHAnsi" w:hAnsiTheme="minorHAnsi"/>
          <w:szCs w:val="22"/>
        </w:rPr>
        <w:t xml:space="preserve"> the will and opportunity to </w:t>
      </w:r>
      <w:r w:rsidR="000C23D8">
        <w:rPr>
          <w:rFonts w:asciiTheme="minorHAnsi" w:hAnsiTheme="minorHAnsi"/>
          <w:szCs w:val="22"/>
        </w:rPr>
        <w:t>implement</w:t>
      </w:r>
      <w:r w:rsidR="000C23D8" w:rsidRPr="009944E9">
        <w:rPr>
          <w:rFonts w:asciiTheme="minorHAnsi" w:hAnsiTheme="minorHAnsi"/>
          <w:szCs w:val="22"/>
        </w:rPr>
        <w:t xml:space="preserve"> </w:t>
      </w:r>
      <w:r w:rsidR="00F52F60" w:rsidRPr="009944E9">
        <w:rPr>
          <w:rFonts w:asciiTheme="minorHAnsi" w:hAnsiTheme="minorHAnsi"/>
          <w:szCs w:val="22"/>
        </w:rPr>
        <w:t xml:space="preserve">the </w:t>
      </w:r>
      <w:r w:rsidR="000C23D8">
        <w:rPr>
          <w:rFonts w:asciiTheme="minorHAnsi" w:hAnsiTheme="minorHAnsi"/>
          <w:szCs w:val="22"/>
        </w:rPr>
        <w:t xml:space="preserve">necessary </w:t>
      </w:r>
      <w:r w:rsidR="00F52F60" w:rsidRPr="009944E9">
        <w:rPr>
          <w:rFonts w:asciiTheme="minorHAnsi" w:hAnsiTheme="minorHAnsi"/>
          <w:szCs w:val="22"/>
        </w:rPr>
        <w:t>changes.</w:t>
      </w:r>
      <w:r w:rsidR="008C1204">
        <w:rPr>
          <w:rFonts w:asciiTheme="minorHAnsi" w:hAnsiTheme="minorHAnsi"/>
          <w:szCs w:val="22"/>
        </w:rPr>
        <w:t xml:space="preserve"> </w:t>
      </w:r>
      <w:r>
        <w:rPr>
          <w:rFonts w:asciiTheme="minorHAnsi" w:hAnsiTheme="minorHAnsi"/>
          <w:szCs w:val="22"/>
        </w:rPr>
        <w:t xml:space="preserve"> </w:t>
      </w:r>
      <w:r w:rsidR="00F52F60" w:rsidRPr="009944E9">
        <w:rPr>
          <w:rFonts w:asciiTheme="minorHAnsi" w:hAnsiTheme="minorHAnsi"/>
          <w:szCs w:val="22"/>
        </w:rPr>
        <w:t xml:space="preserve">The challenge is </w:t>
      </w:r>
      <w:r w:rsidR="00422BAE">
        <w:rPr>
          <w:rFonts w:asciiTheme="minorHAnsi" w:hAnsiTheme="minorHAnsi"/>
          <w:szCs w:val="22"/>
        </w:rPr>
        <w:t>to ensure that</w:t>
      </w:r>
      <w:r w:rsidR="00F52F60" w:rsidRPr="009944E9">
        <w:rPr>
          <w:rFonts w:asciiTheme="minorHAnsi" w:hAnsiTheme="minorHAnsi"/>
          <w:szCs w:val="22"/>
        </w:rPr>
        <w:t xml:space="preserve"> appropriate resources</w:t>
      </w:r>
      <w:r w:rsidR="00422BAE">
        <w:rPr>
          <w:rFonts w:asciiTheme="minorHAnsi" w:hAnsiTheme="minorHAnsi"/>
          <w:szCs w:val="22"/>
        </w:rPr>
        <w:t xml:space="preserve"> are </w:t>
      </w:r>
      <w:r w:rsidR="00F52F60" w:rsidRPr="009944E9">
        <w:rPr>
          <w:rFonts w:asciiTheme="minorHAnsi" w:hAnsiTheme="minorHAnsi"/>
          <w:szCs w:val="22"/>
        </w:rPr>
        <w:t>devoted to a continuous improvemen</w:t>
      </w:r>
      <w:r w:rsidR="00E472DF">
        <w:rPr>
          <w:rFonts w:asciiTheme="minorHAnsi" w:hAnsiTheme="minorHAnsi"/>
          <w:szCs w:val="22"/>
        </w:rPr>
        <w:t>t model for regulation</w:t>
      </w:r>
      <w:r>
        <w:rPr>
          <w:rFonts w:asciiTheme="minorHAnsi" w:hAnsiTheme="minorHAnsi"/>
          <w:szCs w:val="22"/>
        </w:rPr>
        <w:t xml:space="preserve">, which </w:t>
      </w:r>
      <w:r w:rsidR="00E472DF">
        <w:rPr>
          <w:rFonts w:asciiTheme="minorHAnsi" w:hAnsiTheme="minorHAnsi"/>
          <w:szCs w:val="22"/>
        </w:rPr>
        <w:t>can</w:t>
      </w:r>
      <w:r w:rsidR="00F52F60" w:rsidRPr="009944E9">
        <w:rPr>
          <w:rFonts w:asciiTheme="minorHAnsi" w:hAnsiTheme="minorHAnsi"/>
          <w:szCs w:val="22"/>
        </w:rPr>
        <w:t xml:space="preserve"> often</w:t>
      </w:r>
      <w:r w:rsidR="00E472DF">
        <w:rPr>
          <w:rFonts w:asciiTheme="minorHAnsi" w:hAnsiTheme="minorHAnsi"/>
          <w:szCs w:val="22"/>
        </w:rPr>
        <w:t xml:space="preserve"> be</w:t>
      </w:r>
      <w:r w:rsidR="00F52F60" w:rsidRPr="009944E9">
        <w:rPr>
          <w:rFonts w:asciiTheme="minorHAnsi" w:hAnsiTheme="minorHAnsi"/>
          <w:szCs w:val="22"/>
        </w:rPr>
        <w:t xml:space="preserve"> </w:t>
      </w:r>
      <w:r w:rsidR="00422BAE">
        <w:rPr>
          <w:rFonts w:asciiTheme="minorHAnsi" w:hAnsiTheme="minorHAnsi"/>
          <w:szCs w:val="22"/>
        </w:rPr>
        <w:t xml:space="preserve">seen as </w:t>
      </w:r>
      <w:r w:rsidR="00E472DF">
        <w:rPr>
          <w:rFonts w:asciiTheme="minorHAnsi" w:hAnsiTheme="minorHAnsi"/>
          <w:szCs w:val="22"/>
        </w:rPr>
        <w:t>mundane</w:t>
      </w:r>
      <w:r w:rsidR="00F52F60" w:rsidRPr="009944E9">
        <w:rPr>
          <w:rFonts w:asciiTheme="minorHAnsi" w:hAnsiTheme="minorHAnsi"/>
          <w:szCs w:val="22"/>
        </w:rPr>
        <w:t xml:space="preserve"> and low priority </w:t>
      </w:r>
      <w:r w:rsidR="00422BAE">
        <w:rPr>
          <w:rFonts w:asciiTheme="minorHAnsi" w:hAnsiTheme="minorHAnsi"/>
          <w:szCs w:val="22"/>
        </w:rPr>
        <w:t>by</w:t>
      </w:r>
      <w:r w:rsidR="00422BAE" w:rsidRPr="009944E9">
        <w:rPr>
          <w:rFonts w:asciiTheme="minorHAnsi" w:hAnsiTheme="minorHAnsi"/>
          <w:szCs w:val="22"/>
        </w:rPr>
        <w:t xml:space="preserve"> </w:t>
      </w:r>
      <w:r w:rsidR="00F52F60" w:rsidRPr="009944E9">
        <w:rPr>
          <w:rFonts w:asciiTheme="minorHAnsi" w:hAnsiTheme="minorHAnsi"/>
          <w:szCs w:val="22"/>
        </w:rPr>
        <w:t xml:space="preserve">Governments that have </w:t>
      </w:r>
      <w:r w:rsidR="00E472DF">
        <w:rPr>
          <w:rFonts w:asciiTheme="minorHAnsi" w:hAnsiTheme="minorHAnsi"/>
          <w:szCs w:val="22"/>
        </w:rPr>
        <w:t xml:space="preserve">more pressing </w:t>
      </w:r>
      <w:r w:rsidR="00F52F60" w:rsidRPr="009944E9">
        <w:rPr>
          <w:rFonts w:asciiTheme="minorHAnsi" w:hAnsiTheme="minorHAnsi"/>
          <w:szCs w:val="22"/>
        </w:rPr>
        <w:t>policy issues to deal with.</w:t>
      </w:r>
      <w:r w:rsidR="002511EF">
        <w:rPr>
          <w:rFonts w:asciiTheme="minorHAnsi" w:hAnsiTheme="minorHAnsi"/>
          <w:szCs w:val="22"/>
        </w:rPr>
        <w:t xml:space="preserve">  </w:t>
      </w:r>
      <w:r w:rsidR="00FA79EF">
        <w:rPr>
          <w:rFonts w:asciiTheme="minorHAnsi" w:hAnsiTheme="minorHAnsi"/>
          <w:szCs w:val="22"/>
        </w:rPr>
        <w:t>O</w:t>
      </w:r>
      <w:r w:rsidR="00F52F60" w:rsidRPr="009944E9">
        <w:rPr>
          <w:rFonts w:asciiTheme="minorHAnsi" w:hAnsiTheme="minorHAnsi"/>
          <w:szCs w:val="22"/>
        </w:rPr>
        <w:t xml:space="preserve">ne </w:t>
      </w:r>
      <w:r w:rsidR="002511EF">
        <w:rPr>
          <w:rFonts w:asciiTheme="minorHAnsi" w:hAnsiTheme="minorHAnsi"/>
          <w:szCs w:val="22"/>
        </w:rPr>
        <w:t>approach</w:t>
      </w:r>
      <w:r w:rsidR="00F52F60" w:rsidRPr="009944E9">
        <w:rPr>
          <w:rFonts w:asciiTheme="minorHAnsi" w:hAnsiTheme="minorHAnsi"/>
          <w:szCs w:val="22"/>
        </w:rPr>
        <w:t xml:space="preserve"> that seeks to overcome this drawback is ‘Regulatory Stewardship’.</w:t>
      </w:r>
    </w:p>
    <w:p w:rsidR="00FA79EF" w:rsidRPr="00FA79EF" w:rsidRDefault="00FA79EF" w:rsidP="00FA79EF">
      <w:pPr>
        <w:pStyle w:val="Heading2"/>
      </w:pPr>
      <w:r w:rsidRPr="00FA79EF">
        <w:t>Regulatory stewardship</w:t>
      </w:r>
    </w:p>
    <w:p w:rsidR="00F52F60" w:rsidRPr="009944E9" w:rsidRDefault="00F52F60" w:rsidP="00F52F60">
      <w:pPr>
        <w:spacing w:after="120" w:line="276" w:lineRule="auto"/>
        <w:rPr>
          <w:rFonts w:asciiTheme="minorHAnsi" w:hAnsiTheme="minorHAnsi"/>
          <w:szCs w:val="22"/>
        </w:rPr>
      </w:pPr>
      <w:r w:rsidRPr="009944E9">
        <w:rPr>
          <w:rFonts w:asciiTheme="minorHAnsi" w:hAnsiTheme="minorHAnsi"/>
          <w:szCs w:val="22"/>
        </w:rPr>
        <w:t xml:space="preserve">Regulatory stewardship (a term currently in use, if not coined, </w:t>
      </w:r>
      <w:r w:rsidR="00422BAE">
        <w:rPr>
          <w:rFonts w:asciiTheme="minorHAnsi" w:hAnsiTheme="minorHAnsi"/>
          <w:szCs w:val="22"/>
        </w:rPr>
        <w:t xml:space="preserve">in </w:t>
      </w:r>
      <w:r w:rsidRPr="009944E9">
        <w:rPr>
          <w:rFonts w:asciiTheme="minorHAnsi" w:hAnsiTheme="minorHAnsi"/>
          <w:szCs w:val="22"/>
        </w:rPr>
        <w:t>New Zealand</w:t>
      </w:r>
      <w:r w:rsidR="00410275">
        <w:rPr>
          <w:rStyle w:val="FootnoteReference"/>
          <w:rFonts w:asciiTheme="minorHAnsi" w:hAnsiTheme="minorHAnsi"/>
          <w:szCs w:val="22"/>
        </w:rPr>
        <w:footnoteReference w:id="9"/>
      </w:r>
      <w:r w:rsidRPr="009944E9">
        <w:rPr>
          <w:rFonts w:asciiTheme="minorHAnsi" w:hAnsiTheme="minorHAnsi"/>
          <w:szCs w:val="22"/>
        </w:rPr>
        <w:t>) describes a model where responsibility falls upon regulators</w:t>
      </w:r>
      <w:r w:rsidR="00472C1B">
        <w:rPr>
          <w:rFonts w:asciiTheme="minorHAnsi" w:hAnsiTheme="minorHAnsi"/>
          <w:szCs w:val="22"/>
        </w:rPr>
        <w:t>,</w:t>
      </w:r>
      <w:r w:rsidRPr="009944E9">
        <w:rPr>
          <w:rFonts w:asciiTheme="minorHAnsi" w:hAnsiTheme="minorHAnsi"/>
          <w:szCs w:val="22"/>
        </w:rPr>
        <w:t xml:space="preserve"> government departments and </w:t>
      </w:r>
      <w:r w:rsidR="00472C1B">
        <w:rPr>
          <w:rFonts w:asciiTheme="minorHAnsi" w:hAnsiTheme="minorHAnsi"/>
          <w:szCs w:val="22"/>
        </w:rPr>
        <w:t xml:space="preserve">other </w:t>
      </w:r>
      <w:r w:rsidRPr="009944E9">
        <w:rPr>
          <w:rFonts w:asciiTheme="minorHAnsi" w:hAnsiTheme="minorHAnsi"/>
          <w:szCs w:val="22"/>
        </w:rPr>
        <w:t>agencies to undertake continuous evaluati</w:t>
      </w:r>
      <w:r w:rsidR="00472C1B">
        <w:rPr>
          <w:rFonts w:asciiTheme="minorHAnsi" w:hAnsiTheme="minorHAnsi"/>
          <w:szCs w:val="22"/>
        </w:rPr>
        <w:t>on</w:t>
      </w:r>
      <w:r w:rsidRPr="009944E9">
        <w:rPr>
          <w:rFonts w:asciiTheme="minorHAnsi" w:hAnsiTheme="minorHAnsi"/>
          <w:szCs w:val="22"/>
        </w:rPr>
        <w:t xml:space="preserve"> </w:t>
      </w:r>
      <w:r w:rsidR="00472C1B">
        <w:rPr>
          <w:rFonts w:asciiTheme="minorHAnsi" w:hAnsiTheme="minorHAnsi"/>
          <w:szCs w:val="22"/>
        </w:rPr>
        <w:t>of</w:t>
      </w:r>
      <w:r w:rsidR="00472C1B" w:rsidRPr="009944E9">
        <w:rPr>
          <w:rFonts w:asciiTheme="minorHAnsi" w:hAnsiTheme="minorHAnsi"/>
          <w:szCs w:val="22"/>
        </w:rPr>
        <w:t xml:space="preserve"> </w:t>
      </w:r>
      <w:r w:rsidRPr="009944E9">
        <w:rPr>
          <w:rFonts w:asciiTheme="minorHAnsi" w:hAnsiTheme="minorHAnsi"/>
          <w:szCs w:val="22"/>
        </w:rPr>
        <w:t>their stock of regulation.</w:t>
      </w:r>
    </w:p>
    <w:p w:rsidR="00FA79EF" w:rsidRPr="009944E9" w:rsidRDefault="00FA79EF">
      <w:pPr>
        <w:spacing w:after="120" w:line="276" w:lineRule="auto"/>
        <w:rPr>
          <w:rFonts w:asciiTheme="minorHAnsi" w:hAnsiTheme="minorHAnsi"/>
          <w:szCs w:val="22"/>
        </w:rPr>
      </w:pPr>
      <w:r w:rsidRPr="009944E9">
        <w:rPr>
          <w:rFonts w:asciiTheme="minorHAnsi" w:hAnsiTheme="minorHAnsi"/>
          <w:szCs w:val="22"/>
        </w:rPr>
        <w:t>New Zealand Government’s model of regulatory reform</w:t>
      </w:r>
      <w:r w:rsidR="00472C1B">
        <w:rPr>
          <w:rFonts w:asciiTheme="minorHAnsi" w:hAnsiTheme="minorHAnsi"/>
          <w:szCs w:val="22"/>
        </w:rPr>
        <w:t xml:space="preserve"> relies on a statutory mandate obliging</w:t>
      </w:r>
      <w:r w:rsidRPr="009944E9">
        <w:rPr>
          <w:rFonts w:asciiTheme="minorHAnsi" w:hAnsiTheme="minorHAnsi"/>
          <w:szCs w:val="22"/>
        </w:rPr>
        <w:t xml:space="preserve"> departmental chief executives to exercise </w:t>
      </w:r>
      <w:r w:rsidR="00B910BE">
        <w:rPr>
          <w:rFonts w:asciiTheme="minorHAnsi" w:hAnsiTheme="minorHAnsi"/>
          <w:szCs w:val="22"/>
        </w:rPr>
        <w:t>responsible oversight</w:t>
      </w:r>
      <w:r w:rsidRPr="009944E9">
        <w:rPr>
          <w:rFonts w:asciiTheme="minorHAnsi" w:hAnsiTheme="minorHAnsi"/>
          <w:szCs w:val="22"/>
        </w:rPr>
        <w:t xml:space="preserve"> of regulatory systems. New Zealand’s Treasury describes this approach in these terms:</w:t>
      </w:r>
    </w:p>
    <w:p w:rsidR="00FA79EF" w:rsidRPr="00FA79EF" w:rsidRDefault="00FA79EF" w:rsidP="00FA79EF">
      <w:pPr>
        <w:spacing w:after="120" w:line="276" w:lineRule="auto"/>
        <w:ind w:left="567"/>
        <w:rPr>
          <w:rFonts w:asciiTheme="minorHAnsi" w:hAnsiTheme="minorHAnsi"/>
          <w:i/>
          <w:szCs w:val="22"/>
        </w:rPr>
      </w:pPr>
      <w:r w:rsidRPr="00FA79EF">
        <w:rPr>
          <w:rFonts w:asciiTheme="minorHAnsi" w:hAnsiTheme="minorHAnsi"/>
          <w:i/>
          <w:szCs w:val="22"/>
        </w:rPr>
        <w:t>‘[Regulatory stewardship is] a responsibility of government regulatory agencies.  It involves them adopting a whole-of-system, lifecycle view of regulation, and taking a proactive, collaborative approach, to the monitoring and care of the regulatory system(s) within which they have policy or operational responsibilities.’</w:t>
      </w:r>
      <w:r w:rsidRPr="00FA79EF">
        <w:rPr>
          <w:rStyle w:val="FootnoteReference"/>
          <w:rFonts w:asciiTheme="minorHAnsi" w:hAnsiTheme="minorHAnsi"/>
          <w:szCs w:val="22"/>
        </w:rPr>
        <w:footnoteReference w:id="10"/>
      </w:r>
    </w:p>
    <w:p w:rsidR="00FA79EF" w:rsidRPr="009944E9" w:rsidRDefault="00FA79EF" w:rsidP="00FA79EF">
      <w:pPr>
        <w:spacing w:after="120" w:line="276" w:lineRule="auto"/>
        <w:rPr>
          <w:rFonts w:asciiTheme="minorHAnsi" w:hAnsiTheme="minorHAnsi"/>
          <w:szCs w:val="22"/>
        </w:rPr>
      </w:pPr>
      <w:r w:rsidRPr="009944E9">
        <w:rPr>
          <w:rFonts w:asciiTheme="minorHAnsi" w:hAnsiTheme="minorHAnsi"/>
          <w:szCs w:val="22"/>
        </w:rPr>
        <w:t xml:space="preserve">New Zealand’s State Sector Act defines stewardship as the </w:t>
      </w:r>
      <w:r>
        <w:rPr>
          <w:rFonts w:asciiTheme="minorHAnsi" w:hAnsiTheme="minorHAnsi"/>
          <w:szCs w:val="22"/>
        </w:rPr>
        <w:t>‘</w:t>
      </w:r>
      <w:r w:rsidRPr="009944E9">
        <w:rPr>
          <w:rFonts w:asciiTheme="minorHAnsi" w:hAnsiTheme="minorHAnsi"/>
          <w:szCs w:val="22"/>
        </w:rPr>
        <w:t>active planning and management of medium- and long-term interests, along with associated advice</w:t>
      </w:r>
      <w:r>
        <w:rPr>
          <w:rFonts w:asciiTheme="minorHAnsi" w:hAnsiTheme="minorHAnsi"/>
          <w:szCs w:val="22"/>
        </w:rPr>
        <w:t>’</w:t>
      </w:r>
      <w:r w:rsidRPr="009944E9">
        <w:rPr>
          <w:rFonts w:asciiTheme="minorHAnsi" w:hAnsiTheme="minorHAnsi"/>
          <w:szCs w:val="22"/>
        </w:rPr>
        <w:t>.</w:t>
      </w:r>
      <w:r>
        <w:rPr>
          <w:rStyle w:val="FootnoteReference"/>
          <w:rFonts w:asciiTheme="minorHAnsi" w:hAnsiTheme="minorHAnsi"/>
          <w:szCs w:val="22"/>
        </w:rPr>
        <w:footnoteReference w:id="11"/>
      </w:r>
    </w:p>
    <w:p w:rsidR="005350D2" w:rsidRPr="005350D2" w:rsidRDefault="00FA79EF" w:rsidP="005350D2">
      <w:pPr>
        <w:spacing w:after="120" w:line="276" w:lineRule="auto"/>
        <w:rPr>
          <w:rFonts w:asciiTheme="minorHAnsi" w:hAnsiTheme="minorHAnsi"/>
          <w:szCs w:val="22"/>
        </w:rPr>
      </w:pPr>
      <w:r>
        <w:rPr>
          <w:rFonts w:asciiTheme="minorHAnsi" w:hAnsiTheme="minorHAnsi"/>
          <w:szCs w:val="22"/>
        </w:rPr>
        <w:t>In this way, regulatory s</w:t>
      </w:r>
      <w:r w:rsidR="00F52F60" w:rsidRPr="009944E9">
        <w:rPr>
          <w:rFonts w:asciiTheme="minorHAnsi" w:hAnsiTheme="minorHAnsi"/>
          <w:szCs w:val="22"/>
        </w:rPr>
        <w:t xml:space="preserve">tewardship </w:t>
      </w:r>
      <w:r w:rsidR="00C56264">
        <w:rPr>
          <w:rFonts w:asciiTheme="minorHAnsi" w:hAnsiTheme="minorHAnsi"/>
          <w:szCs w:val="22"/>
        </w:rPr>
        <w:t>treats</w:t>
      </w:r>
      <w:r w:rsidR="00C56264" w:rsidRPr="009944E9">
        <w:rPr>
          <w:rFonts w:asciiTheme="minorHAnsi" w:hAnsiTheme="minorHAnsi"/>
          <w:szCs w:val="22"/>
        </w:rPr>
        <w:t xml:space="preserve"> </w:t>
      </w:r>
      <w:r w:rsidR="00F52F60" w:rsidRPr="009944E9">
        <w:rPr>
          <w:rFonts w:asciiTheme="minorHAnsi" w:hAnsiTheme="minorHAnsi"/>
          <w:szCs w:val="22"/>
        </w:rPr>
        <w:t xml:space="preserve">regulation as a public asset that requires maintenance </w:t>
      </w:r>
      <w:r w:rsidR="00B910BE" w:rsidRPr="009944E9">
        <w:rPr>
          <w:rFonts w:asciiTheme="minorHAnsi" w:hAnsiTheme="minorHAnsi"/>
          <w:szCs w:val="22"/>
        </w:rPr>
        <w:t>to ensure that it remains fit for purpose</w:t>
      </w:r>
      <w:r w:rsidR="00B910BE">
        <w:rPr>
          <w:rFonts w:asciiTheme="minorHAnsi" w:hAnsiTheme="minorHAnsi"/>
          <w:szCs w:val="22"/>
        </w:rPr>
        <w:t>,</w:t>
      </w:r>
      <w:r w:rsidR="00B910BE" w:rsidRPr="009944E9">
        <w:rPr>
          <w:rFonts w:asciiTheme="minorHAnsi" w:hAnsiTheme="minorHAnsi"/>
          <w:szCs w:val="22"/>
        </w:rPr>
        <w:t xml:space="preserve"> </w:t>
      </w:r>
      <w:r w:rsidR="00F52F60" w:rsidRPr="009944E9">
        <w:rPr>
          <w:rFonts w:asciiTheme="minorHAnsi" w:hAnsiTheme="minorHAnsi"/>
          <w:szCs w:val="22"/>
        </w:rPr>
        <w:t xml:space="preserve">much like a </w:t>
      </w:r>
      <w:r w:rsidR="00C56264">
        <w:rPr>
          <w:rFonts w:asciiTheme="minorHAnsi" w:hAnsiTheme="minorHAnsi"/>
          <w:szCs w:val="22"/>
        </w:rPr>
        <w:t>physical</w:t>
      </w:r>
      <w:r w:rsidR="00C56264" w:rsidRPr="009944E9">
        <w:rPr>
          <w:rFonts w:asciiTheme="minorHAnsi" w:hAnsiTheme="minorHAnsi"/>
          <w:szCs w:val="22"/>
        </w:rPr>
        <w:t xml:space="preserve"> </w:t>
      </w:r>
      <w:r w:rsidR="00F52F60" w:rsidRPr="009944E9">
        <w:rPr>
          <w:rFonts w:asciiTheme="minorHAnsi" w:hAnsiTheme="minorHAnsi"/>
          <w:szCs w:val="22"/>
        </w:rPr>
        <w:t>asset such as a bridge or a road.</w:t>
      </w:r>
      <w:r w:rsidR="005350D2">
        <w:rPr>
          <w:rFonts w:asciiTheme="minorHAnsi" w:hAnsiTheme="minorHAnsi"/>
          <w:szCs w:val="22"/>
        </w:rPr>
        <w:t xml:space="preserve">  </w:t>
      </w:r>
      <w:r w:rsidR="008C1204">
        <w:rPr>
          <w:rFonts w:asciiTheme="minorHAnsi" w:hAnsiTheme="minorHAnsi"/>
          <w:szCs w:val="22"/>
        </w:rPr>
        <w:t>The stewardship model recognises that maintenance o</w:t>
      </w:r>
      <w:r w:rsidR="005350D2" w:rsidRPr="005350D2">
        <w:rPr>
          <w:rFonts w:asciiTheme="minorHAnsi" w:hAnsiTheme="minorHAnsi"/>
          <w:szCs w:val="22"/>
        </w:rPr>
        <w:t xml:space="preserve">f existing regulations is not a </w:t>
      </w:r>
      <w:r w:rsidR="00C56264">
        <w:rPr>
          <w:rFonts w:asciiTheme="minorHAnsi" w:hAnsiTheme="minorHAnsi"/>
          <w:szCs w:val="22"/>
        </w:rPr>
        <w:t>high profile,</w:t>
      </w:r>
      <w:r w:rsidR="00C56264" w:rsidRPr="005350D2">
        <w:rPr>
          <w:rFonts w:asciiTheme="minorHAnsi" w:hAnsiTheme="minorHAnsi"/>
          <w:szCs w:val="22"/>
        </w:rPr>
        <w:t xml:space="preserve"> </w:t>
      </w:r>
      <w:r w:rsidR="008C1204">
        <w:rPr>
          <w:rFonts w:asciiTheme="minorHAnsi" w:hAnsiTheme="minorHAnsi"/>
          <w:szCs w:val="22"/>
        </w:rPr>
        <w:t xml:space="preserve">headline-grabbing activity </w:t>
      </w:r>
      <w:r w:rsidR="005350D2" w:rsidRPr="005350D2">
        <w:rPr>
          <w:rFonts w:asciiTheme="minorHAnsi" w:hAnsiTheme="minorHAnsi"/>
          <w:szCs w:val="22"/>
        </w:rPr>
        <w:t>for a government to pursue</w:t>
      </w:r>
      <w:r w:rsidR="00B910BE">
        <w:rPr>
          <w:rFonts w:asciiTheme="minorHAnsi" w:hAnsiTheme="minorHAnsi"/>
          <w:szCs w:val="22"/>
        </w:rPr>
        <w:t xml:space="preserve"> and t</w:t>
      </w:r>
      <w:r w:rsidR="005350D2">
        <w:rPr>
          <w:rFonts w:asciiTheme="minorHAnsi" w:hAnsiTheme="minorHAnsi"/>
          <w:szCs w:val="22"/>
        </w:rPr>
        <w:t xml:space="preserve">hus </w:t>
      </w:r>
      <w:r w:rsidR="005350D2" w:rsidRPr="005350D2">
        <w:rPr>
          <w:rFonts w:asciiTheme="minorHAnsi" w:hAnsiTheme="minorHAnsi"/>
          <w:szCs w:val="22"/>
        </w:rPr>
        <w:t>it is eas</w:t>
      </w:r>
      <w:r w:rsidR="008C1204">
        <w:rPr>
          <w:rFonts w:asciiTheme="minorHAnsi" w:hAnsiTheme="minorHAnsi"/>
          <w:szCs w:val="22"/>
        </w:rPr>
        <w:t xml:space="preserve">ily crowded out </w:t>
      </w:r>
      <w:r w:rsidR="005350D2" w:rsidRPr="005350D2">
        <w:rPr>
          <w:rFonts w:asciiTheme="minorHAnsi" w:hAnsiTheme="minorHAnsi"/>
          <w:szCs w:val="22"/>
        </w:rPr>
        <w:t xml:space="preserve">by other policy priorities.  However, it </w:t>
      </w:r>
      <w:r w:rsidR="00B910BE">
        <w:rPr>
          <w:rFonts w:asciiTheme="minorHAnsi" w:hAnsiTheme="minorHAnsi"/>
          <w:szCs w:val="22"/>
        </w:rPr>
        <w:t>requires</w:t>
      </w:r>
      <w:r w:rsidR="005350D2" w:rsidRPr="005350D2">
        <w:rPr>
          <w:rFonts w:asciiTheme="minorHAnsi" w:hAnsiTheme="minorHAnsi"/>
          <w:szCs w:val="22"/>
        </w:rPr>
        <w:t xml:space="preserve"> that </w:t>
      </w:r>
      <w:r w:rsidR="00C56264">
        <w:rPr>
          <w:rFonts w:asciiTheme="minorHAnsi" w:hAnsiTheme="minorHAnsi"/>
          <w:szCs w:val="22"/>
        </w:rPr>
        <w:t>some</w:t>
      </w:r>
      <w:r w:rsidR="00C56264" w:rsidRPr="005350D2">
        <w:rPr>
          <w:rFonts w:asciiTheme="minorHAnsi" w:hAnsiTheme="minorHAnsi"/>
          <w:szCs w:val="22"/>
        </w:rPr>
        <w:t xml:space="preserve"> </w:t>
      </w:r>
      <w:r w:rsidR="00C56264">
        <w:rPr>
          <w:rFonts w:asciiTheme="minorHAnsi" w:hAnsiTheme="minorHAnsi"/>
          <w:szCs w:val="22"/>
        </w:rPr>
        <w:t>modest but consistent</w:t>
      </w:r>
      <w:r w:rsidR="00C56264" w:rsidRPr="005350D2">
        <w:rPr>
          <w:rFonts w:asciiTheme="minorHAnsi" w:hAnsiTheme="minorHAnsi"/>
          <w:szCs w:val="22"/>
        </w:rPr>
        <w:t xml:space="preserve"> </w:t>
      </w:r>
      <w:r w:rsidR="005350D2" w:rsidRPr="005350D2">
        <w:rPr>
          <w:rFonts w:asciiTheme="minorHAnsi" w:hAnsiTheme="minorHAnsi"/>
          <w:szCs w:val="22"/>
        </w:rPr>
        <w:t xml:space="preserve">part of </w:t>
      </w:r>
      <w:r w:rsidR="00B910BE">
        <w:rPr>
          <w:rFonts w:asciiTheme="minorHAnsi" w:hAnsiTheme="minorHAnsi"/>
          <w:szCs w:val="22"/>
        </w:rPr>
        <w:t>rule-makers</w:t>
      </w:r>
      <w:r w:rsidR="002511EF">
        <w:rPr>
          <w:rFonts w:asciiTheme="minorHAnsi" w:hAnsiTheme="minorHAnsi"/>
          <w:szCs w:val="22"/>
        </w:rPr>
        <w:t>’</w:t>
      </w:r>
      <w:r w:rsidR="005350D2" w:rsidRPr="005350D2">
        <w:rPr>
          <w:rFonts w:asciiTheme="minorHAnsi" w:hAnsiTheme="minorHAnsi"/>
          <w:szCs w:val="22"/>
        </w:rPr>
        <w:t xml:space="preserve"> attention goes to how we maintain our body of </w:t>
      </w:r>
      <w:r w:rsidR="00B910BE" w:rsidRPr="005350D2">
        <w:rPr>
          <w:rFonts w:asciiTheme="minorHAnsi" w:hAnsiTheme="minorHAnsi"/>
          <w:szCs w:val="22"/>
        </w:rPr>
        <w:t xml:space="preserve">existing </w:t>
      </w:r>
      <w:r w:rsidR="005350D2" w:rsidRPr="005350D2">
        <w:rPr>
          <w:rFonts w:asciiTheme="minorHAnsi" w:hAnsiTheme="minorHAnsi"/>
          <w:szCs w:val="22"/>
        </w:rPr>
        <w:t>regulations</w:t>
      </w:r>
      <w:r w:rsidR="00C56264">
        <w:rPr>
          <w:rFonts w:asciiTheme="minorHAnsi" w:hAnsiTheme="minorHAnsi"/>
          <w:szCs w:val="22"/>
        </w:rPr>
        <w:t>.</w:t>
      </w:r>
      <w:r w:rsidR="005350D2" w:rsidRPr="005350D2">
        <w:rPr>
          <w:rFonts w:asciiTheme="minorHAnsi" w:hAnsiTheme="minorHAnsi"/>
          <w:szCs w:val="22"/>
        </w:rPr>
        <w:t xml:space="preserve"> </w:t>
      </w:r>
      <w:r w:rsidR="00C56264">
        <w:rPr>
          <w:rFonts w:asciiTheme="minorHAnsi" w:hAnsiTheme="minorHAnsi"/>
          <w:szCs w:val="22"/>
        </w:rPr>
        <w:t>The alternative is that</w:t>
      </w:r>
      <w:r w:rsidR="005350D2" w:rsidRPr="005350D2">
        <w:rPr>
          <w:rFonts w:asciiTheme="minorHAnsi" w:hAnsiTheme="minorHAnsi"/>
          <w:szCs w:val="22"/>
        </w:rPr>
        <w:t xml:space="preserve"> the system will eventually</w:t>
      </w:r>
      <w:r w:rsidR="00C56264">
        <w:rPr>
          <w:rFonts w:asciiTheme="minorHAnsi" w:hAnsiTheme="minorHAnsi"/>
          <w:szCs w:val="22"/>
        </w:rPr>
        <w:t xml:space="preserve"> </w:t>
      </w:r>
      <w:r w:rsidR="00B910BE">
        <w:rPr>
          <w:rFonts w:asciiTheme="minorHAnsi" w:hAnsiTheme="minorHAnsi"/>
          <w:szCs w:val="22"/>
        </w:rPr>
        <w:t>falter</w:t>
      </w:r>
      <w:r w:rsidR="00C56264">
        <w:rPr>
          <w:rFonts w:asciiTheme="minorHAnsi" w:hAnsiTheme="minorHAnsi"/>
          <w:szCs w:val="22"/>
        </w:rPr>
        <w:t>, and</w:t>
      </w:r>
      <w:r w:rsidR="005350D2" w:rsidRPr="005350D2">
        <w:rPr>
          <w:rFonts w:asciiTheme="minorHAnsi" w:hAnsiTheme="minorHAnsi"/>
          <w:szCs w:val="22"/>
        </w:rPr>
        <w:t xml:space="preserve"> cost more to re-build and replace</w:t>
      </w:r>
      <w:r w:rsidR="00C56264">
        <w:rPr>
          <w:rFonts w:asciiTheme="minorHAnsi" w:hAnsiTheme="minorHAnsi"/>
          <w:szCs w:val="22"/>
        </w:rPr>
        <w:t>, just as</w:t>
      </w:r>
      <w:r w:rsidR="005350D2" w:rsidRPr="005350D2">
        <w:rPr>
          <w:rFonts w:asciiTheme="minorHAnsi" w:hAnsiTheme="minorHAnsi"/>
          <w:szCs w:val="22"/>
        </w:rPr>
        <w:t xml:space="preserve"> building a new road is much more expensive than maintaining an existing one.</w:t>
      </w:r>
    </w:p>
    <w:p w:rsidR="009B20C4" w:rsidRDefault="009B20C4">
      <w:pPr>
        <w:spacing w:after="0"/>
        <w:rPr>
          <w:b/>
          <w:caps/>
        </w:rPr>
      </w:pPr>
      <w:r>
        <w:br w:type="page"/>
      </w:r>
    </w:p>
    <w:p w:rsidR="00FA79EF" w:rsidRPr="00FA79EF" w:rsidRDefault="00FA79EF" w:rsidP="00FA79EF">
      <w:pPr>
        <w:pStyle w:val="Heading2"/>
      </w:pPr>
      <w:r w:rsidRPr="00FA79EF">
        <w:lastRenderedPageBreak/>
        <w:t xml:space="preserve">Could </w:t>
      </w:r>
      <w:r>
        <w:t xml:space="preserve">regulatory stewardship </w:t>
      </w:r>
      <w:r w:rsidRPr="00FA79EF">
        <w:t xml:space="preserve">be </w:t>
      </w:r>
      <w:r>
        <w:t>adopted</w:t>
      </w:r>
      <w:r w:rsidRPr="00FA79EF">
        <w:t xml:space="preserve"> in Australia?</w:t>
      </w:r>
    </w:p>
    <w:p w:rsidR="00FA79EF" w:rsidRPr="009944E9" w:rsidRDefault="00FA79EF">
      <w:pPr>
        <w:spacing w:after="120" w:line="276" w:lineRule="auto"/>
        <w:rPr>
          <w:rFonts w:asciiTheme="minorHAnsi" w:hAnsiTheme="minorHAnsi"/>
          <w:szCs w:val="22"/>
        </w:rPr>
      </w:pPr>
      <w:r w:rsidRPr="009944E9">
        <w:rPr>
          <w:rFonts w:asciiTheme="minorHAnsi" w:hAnsiTheme="minorHAnsi"/>
          <w:szCs w:val="22"/>
        </w:rPr>
        <w:t>The regulatory stewardship approach makes abundan</w:t>
      </w:r>
      <w:r w:rsidR="002B4B41">
        <w:rPr>
          <w:rFonts w:asciiTheme="minorHAnsi" w:hAnsiTheme="minorHAnsi"/>
          <w:szCs w:val="22"/>
        </w:rPr>
        <w:t>t</w:t>
      </w:r>
      <w:r w:rsidRPr="009944E9">
        <w:rPr>
          <w:rFonts w:asciiTheme="minorHAnsi" w:hAnsiTheme="minorHAnsi"/>
          <w:szCs w:val="22"/>
        </w:rPr>
        <w:t xml:space="preserve"> sense, but it </w:t>
      </w:r>
      <w:r w:rsidR="002B4B41">
        <w:rPr>
          <w:rFonts w:asciiTheme="minorHAnsi" w:hAnsiTheme="minorHAnsi"/>
          <w:szCs w:val="22"/>
        </w:rPr>
        <w:t>requires a step change in thinking</w:t>
      </w:r>
      <w:r w:rsidR="00470069">
        <w:rPr>
          <w:rFonts w:asciiTheme="minorHAnsi" w:hAnsiTheme="minorHAnsi"/>
          <w:szCs w:val="22"/>
        </w:rPr>
        <w:t xml:space="preserve"> about allocating time and resources to policy-making</w:t>
      </w:r>
      <w:r w:rsidRPr="009944E9">
        <w:rPr>
          <w:rFonts w:asciiTheme="minorHAnsi" w:hAnsiTheme="minorHAnsi"/>
          <w:szCs w:val="22"/>
        </w:rPr>
        <w:t xml:space="preserve">.  </w:t>
      </w:r>
      <w:r w:rsidR="008C1204">
        <w:rPr>
          <w:rFonts w:asciiTheme="minorHAnsi" w:hAnsiTheme="minorHAnsi"/>
          <w:szCs w:val="22"/>
        </w:rPr>
        <w:t>It</w:t>
      </w:r>
      <w:r w:rsidRPr="009944E9">
        <w:rPr>
          <w:rFonts w:asciiTheme="minorHAnsi" w:hAnsiTheme="minorHAnsi"/>
          <w:szCs w:val="22"/>
        </w:rPr>
        <w:t xml:space="preserve"> is a much harder</w:t>
      </w:r>
      <w:r w:rsidR="003173E5">
        <w:rPr>
          <w:rFonts w:asciiTheme="minorHAnsi" w:hAnsiTheme="minorHAnsi"/>
          <w:szCs w:val="22"/>
        </w:rPr>
        <w:t xml:space="preserve"> and more sophisticated</w:t>
      </w:r>
      <w:r w:rsidRPr="009944E9">
        <w:rPr>
          <w:rFonts w:asciiTheme="minorHAnsi" w:hAnsiTheme="minorHAnsi"/>
          <w:szCs w:val="22"/>
        </w:rPr>
        <w:t xml:space="preserve"> process than simply looking for </w:t>
      </w:r>
      <w:r w:rsidR="002B4B41">
        <w:rPr>
          <w:rFonts w:asciiTheme="minorHAnsi" w:hAnsiTheme="minorHAnsi"/>
          <w:szCs w:val="22"/>
        </w:rPr>
        <w:t>r</w:t>
      </w:r>
      <w:r w:rsidRPr="009944E9">
        <w:rPr>
          <w:rFonts w:asciiTheme="minorHAnsi" w:hAnsiTheme="minorHAnsi"/>
          <w:szCs w:val="22"/>
        </w:rPr>
        <w:t xml:space="preserve">egulations that are no longer necessary:  the stock of existing regulation is </w:t>
      </w:r>
      <w:r w:rsidR="003173E5">
        <w:rPr>
          <w:rFonts w:asciiTheme="minorHAnsi" w:hAnsiTheme="minorHAnsi"/>
          <w:szCs w:val="22"/>
        </w:rPr>
        <w:t xml:space="preserve">so great that </w:t>
      </w:r>
      <w:r w:rsidR="008C1204">
        <w:rPr>
          <w:rFonts w:asciiTheme="minorHAnsi" w:hAnsiTheme="minorHAnsi"/>
          <w:szCs w:val="22"/>
        </w:rPr>
        <w:t xml:space="preserve">the purifying task is a major one that will take </w:t>
      </w:r>
      <w:r w:rsidR="003173E5">
        <w:rPr>
          <w:rFonts w:asciiTheme="minorHAnsi" w:hAnsiTheme="minorHAnsi"/>
          <w:szCs w:val="22"/>
        </w:rPr>
        <w:t xml:space="preserve">a great deal of </w:t>
      </w:r>
      <w:r w:rsidR="008C1204">
        <w:rPr>
          <w:rFonts w:asciiTheme="minorHAnsi" w:hAnsiTheme="minorHAnsi"/>
          <w:szCs w:val="22"/>
        </w:rPr>
        <w:t>time</w:t>
      </w:r>
      <w:r w:rsidR="003173E5">
        <w:rPr>
          <w:rFonts w:asciiTheme="minorHAnsi" w:hAnsiTheme="minorHAnsi"/>
          <w:szCs w:val="22"/>
        </w:rPr>
        <w:t xml:space="preserve"> and </w:t>
      </w:r>
      <w:r w:rsidR="004211E8">
        <w:rPr>
          <w:rFonts w:asciiTheme="minorHAnsi" w:hAnsiTheme="minorHAnsi"/>
          <w:szCs w:val="22"/>
        </w:rPr>
        <w:t>continued application</w:t>
      </w:r>
      <w:r w:rsidRPr="009944E9">
        <w:rPr>
          <w:rFonts w:asciiTheme="minorHAnsi" w:hAnsiTheme="minorHAnsi"/>
          <w:szCs w:val="22"/>
        </w:rPr>
        <w:t>.</w:t>
      </w:r>
      <w:r>
        <w:rPr>
          <w:rFonts w:asciiTheme="minorHAnsi" w:hAnsiTheme="minorHAnsi"/>
          <w:szCs w:val="22"/>
        </w:rPr>
        <w:t xml:space="preserve">  </w:t>
      </w:r>
      <w:r w:rsidRPr="009944E9">
        <w:rPr>
          <w:rFonts w:asciiTheme="minorHAnsi" w:hAnsiTheme="minorHAnsi"/>
          <w:szCs w:val="22"/>
        </w:rPr>
        <w:t xml:space="preserve">But having such a responsibility placed on </w:t>
      </w:r>
      <w:r w:rsidR="00470069" w:rsidRPr="009944E9">
        <w:rPr>
          <w:rFonts w:asciiTheme="minorHAnsi" w:hAnsiTheme="minorHAnsi"/>
          <w:szCs w:val="22"/>
        </w:rPr>
        <w:t xml:space="preserve">Departments </w:t>
      </w:r>
      <w:r w:rsidRPr="009944E9">
        <w:rPr>
          <w:rFonts w:asciiTheme="minorHAnsi" w:hAnsiTheme="minorHAnsi"/>
          <w:szCs w:val="22"/>
        </w:rPr>
        <w:t xml:space="preserve">could mean </w:t>
      </w:r>
      <w:r w:rsidR="008C1204">
        <w:rPr>
          <w:rFonts w:asciiTheme="minorHAnsi" w:hAnsiTheme="minorHAnsi"/>
          <w:szCs w:val="22"/>
        </w:rPr>
        <w:t>that, in time,</w:t>
      </w:r>
      <w:r w:rsidRPr="009944E9">
        <w:rPr>
          <w:rFonts w:asciiTheme="minorHAnsi" w:hAnsiTheme="minorHAnsi"/>
          <w:szCs w:val="22"/>
        </w:rPr>
        <w:t xml:space="preserve"> our regulatory stock </w:t>
      </w:r>
      <w:r w:rsidR="004211E8">
        <w:rPr>
          <w:rFonts w:asciiTheme="minorHAnsi" w:hAnsiTheme="minorHAnsi"/>
          <w:szCs w:val="22"/>
        </w:rPr>
        <w:t xml:space="preserve">will </w:t>
      </w:r>
      <w:r w:rsidRPr="009944E9">
        <w:rPr>
          <w:rFonts w:asciiTheme="minorHAnsi" w:hAnsiTheme="minorHAnsi"/>
          <w:szCs w:val="22"/>
        </w:rPr>
        <w:t xml:space="preserve">become a living, dynamic and adaptable mechanism for ensuring the efficacy of the rules that are </w:t>
      </w:r>
      <w:r w:rsidR="003173E5">
        <w:rPr>
          <w:rFonts w:asciiTheme="minorHAnsi" w:hAnsiTheme="minorHAnsi"/>
          <w:szCs w:val="22"/>
        </w:rPr>
        <w:t>meant</w:t>
      </w:r>
      <w:r w:rsidR="003173E5" w:rsidRPr="009944E9">
        <w:rPr>
          <w:rFonts w:asciiTheme="minorHAnsi" w:hAnsiTheme="minorHAnsi"/>
          <w:szCs w:val="22"/>
        </w:rPr>
        <w:t xml:space="preserve"> </w:t>
      </w:r>
      <w:r w:rsidRPr="009944E9">
        <w:rPr>
          <w:rFonts w:asciiTheme="minorHAnsi" w:hAnsiTheme="minorHAnsi"/>
          <w:szCs w:val="22"/>
        </w:rPr>
        <w:t xml:space="preserve">to function </w:t>
      </w:r>
      <w:r w:rsidR="003173E5">
        <w:rPr>
          <w:rFonts w:asciiTheme="minorHAnsi" w:hAnsiTheme="minorHAnsi"/>
          <w:szCs w:val="22"/>
        </w:rPr>
        <w:t>well in serving</w:t>
      </w:r>
      <w:r w:rsidRPr="009944E9">
        <w:rPr>
          <w:rFonts w:asciiTheme="minorHAnsi" w:hAnsiTheme="minorHAnsi"/>
          <w:szCs w:val="22"/>
        </w:rPr>
        <w:t xml:space="preserve"> our communities.</w:t>
      </w:r>
    </w:p>
    <w:p w:rsidR="000E4D0D" w:rsidRDefault="008C1204" w:rsidP="00F52F60">
      <w:pPr>
        <w:spacing w:after="120" w:line="276" w:lineRule="auto"/>
        <w:rPr>
          <w:rFonts w:asciiTheme="minorHAnsi" w:hAnsiTheme="minorHAnsi"/>
          <w:szCs w:val="22"/>
        </w:rPr>
      </w:pPr>
      <w:r>
        <w:rPr>
          <w:rFonts w:asciiTheme="minorHAnsi" w:hAnsiTheme="minorHAnsi"/>
          <w:szCs w:val="22"/>
        </w:rPr>
        <w:t xml:space="preserve">In practice </w:t>
      </w:r>
      <w:r w:rsidR="004A6FF5">
        <w:rPr>
          <w:rFonts w:asciiTheme="minorHAnsi" w:hAnsiTheme="minorHAnsi"/>
          <w:szCs w:val="22"/>
        </w:rPr>
        <w:t>regulatory stewardship would require</w:t>
      </w:r>
      <w:r w:rsidRPr="009944E9">
        <w:rPr>
          <w:rFonts w:asciiTheme="minorHAnsi" w:hAnsiTheme="minorHAnsi"/>
          <w:szCs w:val="22"/>
        </w:rPr>
        <w:t xml:space="preserve"> </w:t>
      </w:r>
      <w:r w:rsidR="00470069" w:rsidRPr="009944E9">
        <w:rPr>
          <w:rFonts w:asciiTheme="minorHAnsi" w:hAnsiTheme="minorHAnsi"/>
          <w:szCs w:val="22"/>
        </w:rPr>
        <w:t xml:space="preserve">Departments </w:t>
      </w:r>
      <w:r w:rsidRPr="009944E9">
        <w:rPr>
          <w:rFonts w:asciiTheme="minorHAnsi" w:hAnsiTheme="minorHAnsi"/>
          <w:szCs w:val="22"/>
        </w:rPr>
        <w:t xml:space="preserve">and </w:t>
      </w:r>
      <w:r w:rsidR="00470069" w:rsidRPr="009944E9">
        <w:rPr>
          <w:rFonts w:asciiTheme="minorHAnsi" w:hAnsiTheme="minorHAnsi"/>
          <w:szCs w:val="22"/>
        </w:rPr>
        <w:t xml:space="preserve">Agencies </w:t>
      </w:r>
      <w:r w:rsidR="004A6FF5">
        <w:rPr>
          <w:rFonts w:asciiTheme="minorHAnsi" w:hAnsiTheme="minorHAnsi"/>
          <w:szCs w:val="22"/>
        </w:rPr>
        <w:t xml:space="preserve">to </w:t>
      </w:r>
      <w:r>
        <w:rPr>
          <w:rFonts w:asciiTheme="minorHAnsi" w:hAnsiTheme="minorHAnsi"/>
          <w:szCs w:val="22"/>
        </w:rPr>
        <w:t xml:space="preserve">establish </w:t>
      </w:r>
      <w:r w:rsidRPr="009944E9">
        <w:rPr>
          <w:rFonts w:asciiTheme="minorHAnsi" w:hAnsiTheme="minorHAnsi"/>
          <w:szCs w:val="22"/>
        </w:rPr>
        <w:t>clearly defined process</w:t>
      </w:r>
      <w:r>
        <w:rPr>
          <w:rFonts w:asciiTheme="minorHAnsi" w:hAnsiTheme="minorHAnsi"/>
          <w:szCs w:val="22"/>
        </w:rPr>
        <w:t>es</w:t>
      </w:r>
      <w:r w:rsidRPr="009944E9">
        <w:rPr>
          <w:rFonts w:asciiTheme="minorHAnsi" w:hAnsiTheme="minorHAnsi"/>
          <w:szCs w:val="22"/>
        </w:rPr>
        <w:t xml:space="preserve"> to evaluate whether regulatory </w:t>
      </w:r>
      <w:r w:rsidR="004A6FF5">
        <w:rPr>
          <w:rFonts w:asciiTheme="minorHAnsi" w:hAnsiTheme="minorHAnsi"/>
          <w:szCs w:val="22"/>
        </w:rPr>
        <w:t>interventions</w:t>
      </w:r>
      <w:r w:rsidRPr="009944E9">
        <w:rPr>
          <w:rFonts w:asciiTheme="minorHAnsi" w:hAnsiTheme="minorHAnsi"/>
          <w:szCs w:val="22"/>
        </w:rPr>
        <w:t xml:space="preserve"> </w:t>
      </w:r>
      <w:r>
        <w:rPr>
          <w:rFonts w:asciiTheme="minorHAnsi" w:hAnsiTheme="minorHAnsi"/>
          <w:szCs w:val="22"/>
        </w:rPr>
        <w:t>have</w:t>
      </w:r>
      <w:r w:rsidRPr="009944E9">
        <w:rPr>
          <w:rFonts w:asciiTheme="minorHAnsi" w:hAnsiTheme="minorHAnsi"/>
          <w:szCs w:val="22"/>
        </w:rPr>
        <w:t xml:space="preserve"> in fact achieved their objectives</w:t>
      </w:r>
      <w:r w:rsidR="00750F24">
        <w:rPr>
          <w:rFonts w:asciiTheme="minorHAnsi" w:hAnsiTheme="minorHAnsi"/>
          <w:szCs w:val="22"/>
        </w:rPr>
        <w:t>, and further,</w:t>
      </w:r>
      <w:r w:rsidRPr="009944E9">
        <w:rPr>
          <w:rFonts w:asciiTheme="minorHAnsi" w:hAnsiTheme="minorHAnsi"/>
          <w:szCs w:val="22"/>
        </w:rPr>
        <w:t xml:space="preserve"> whether th</w:t>
      </w:r>
      <w:r w:rsidR="00750F24">
        <w:rPr>
          <w:rFonts w:asciiTheme="minorHAnsi" w:hAnsiTheme="minorHAnsi"/>
          <w:szCs w:val="22"/>
        </w:rPr>
        <w:t xml:space="preserve">ose </w:t>
      </w:r>
      <w:r w:rsidRPr="009944E9">
        <w:rPr>
          <w:rFonts w:asciiTheme="minorHAnsi" w:hAnsiTheme="minorHAnsi"/>
          <w:szCs w:val="22"/>
        </w:rPr>
        <w:t xml:space="preserve">objectives are still relevant and the regulation </w:t>
      </w:r>
      <w:r w:rsidR="00750F24">
        <w:rPr>
          <w:rFonts w:asciiTheme="minorHAnsi" w:hAnsiTheme="minorHAnsi"/>
          <w:szCs w:val="22"/>
        </w:rPr>
        <w:t>still</w:t>
      </w:r>
      <w:r w:rsidR="00750F24" w:rsidRPr="009944E9">
        <w:rPr>
          <w:rFonts w:asciiTheme="minorHAnsi" w:hAnsiTheme="minorHAnsi"/>
          <w:szCs w:val="22"/>
        </w:rPr>
        <w:t xml:space="preserve"> </w:t>
      </w:r>
      <w:r w:rsidRPr="009944E9">
        <w:rPr>
          <w:rFonts w:asciiTheme="minorHAnsi" w:hAnsiTheme="minorHAnsi"/>
          <w:szCs w:val="22"/>
        </w:rPr>
        <w:t>necessary and effective in this light.</w:t>
      </w:r>
      <w:r w:rsidR="00A97628">
        <w:rPr>
          <w:rFonts w:asciiTheme="minorHAnsi" w:hAnsiTheme="minorHAnsi"/>
          <w:szCs w:val="22"/>
        </w:rPr>
        <w:t xml:space="preserve">  Achievements against plans could be periodically reviewed by the Productivity Commission in conjunction with the Australian National Audit Office (to get an appropriate balance of evaluation and audit).</w:t>
      </w:r>
    </w:p>
    <w:p w:rsidR="002511EF" w:rsidRPr="009944E9" w:rsidRDefault="002511EF" w:rsidP="002511EF">
      <w:pPr>
        <w:spacing w:after="120" w:line="276" w:lineRule="auto"/>
        <w:rPr>
          <w:rFonts w:asciiTheme="minorHAnsi" w:hAnsiTheme="minorHAnsi"/>
          <w:szCs w:val="22"/>
        </w:rPr>
      </w:pPr>
      <w:r w:rsidRPr="009944E9">
        <w:rPr>
          <w:rFonts w:asciiTheme="minorHAnsi" w:hAnsiTheme="minorHAnsi"/>
          <w:szCs w:val="22"/>
        </w:rPr>
        <w:t>A robust evaluati</w:t>
      </w:r>
      <w:r>
        <w:rPr>
          <w:rFonts w:asciiTheme="minorHAnsi" w:hAnsiTheme="minorHAnsi"/>
          <w:szCs w:val="22"/>
        </w:rPr>
        <w:t>on</w:t>
      </w:r>
      <w:r w:rsidRPr="009944E9">
        <w:rPr>
          <w:rFonts w:asciiTheme="minorHAnsi" w:hAnsiTheme="minorHAnsi"/>
          <w:szCs w:val="22"/>
        </w:rPr>
        <w:t xml:space="preserve"> process would </w:t>
      </w:r>
      <w:r>
        <w:rPr>
          <w:rFonts w:asciiTheme="minorHAnsi" w:hAnsiTheme="minorHAnsi"/>
          <w:szCs w:val="22"/>
        </w:rPr>
        <w:t xml:space="preserve">seek to </w:t>
      </w:r>
      <w:r w:rsidRPr="009944E9">
        <w:rPr>
          <w:rFonts w:asciiTheme="minorHAnsi" w:hAnsiTheme="minorHAnsi"/>
          <w:szCs w:val="22"/>
        </w:rPr>
        <w:t>identif</w:t>
      </w:r>
      <w:r>
        <w:rPr>
          <w:rFonts w:asciiTheme="minorHAnsi" w:hAnsiTheme="minorHAnsi"/>
          <w:szCs w:val="22"/>
        </w:rPr>
        <w:t>y</w:t>
      </w:r>
      <w:r w:rsidRPr="009944E9">
        <w:rPr>
          <w:rFonts w:asciiTheme="minorHAnsi" w:hAnsiTheme="minorHAnsi"/>
          <w:szCs w:val="22"/>
        </w:rPr>
        <w:t xml:space="preserve"> distortions (such as technological bias)</w:t>
      </w:r>
      <w:r>
        <w:rPr>
          <w:rFonts w:asciiTheme="minorHAnsi" w:hAnsiTheme="minorHAnsi"/>
          <w:szCs w:val="22"/>
        </w:rPr>
        <w:t>;</w:t>
      </w:r>
      <w:r w:rsidRPr="009944E9">
        <w:rPr>
          <w:rFonts w:asciiTheme="minorHAnsi" w:hAnsiTheme="minorHAnsi"/>
          <w:szCs w:val="22"/>
        </w:rPr>
        <w:t xml:space="preserve"> barriers to ent</w:t>
      </w:r>
      <w:r>
        <w:rPr>
          <w:rFonts w:asciiTheme="minorHAnsi" w:hAnsiTheme="minorHAnsi"/>
          <w:szCs w:val="22"/>
        </w:rPr>
        <w:t xml:space="preserve">ering markets </w:t>
      </w:r>
      <w:r w:rsidRPr="009944E9">
        <w:rPr>
          <w:rFonts w:asciiTheme="minorHAnsi" w:hAnsiTheme="minorHAnsi"/>
          <w:szCs w:val="22"/>
        </w:rPr>
        <w:t>(</w:t>
      </w:r>
      <w:r>
        <w:rPr>
          <w:rFonts w:asciiTheme="minorHAnsi" w:hAnsiTheme="minorHAnsi"/>
          <w:szCs w:val="22"/>
        </w:rPr>
        <w:t xml:space="preserve">either </w:t>
      </w:r>
      <w:r w:rsidRPr="009944E9">
        <w:rPr>
          <w:rFonts w:asciiTheme="minorHAnsi" w:hAnsiTheme="minorHAnsi"/>
          <w:szCs w:val="22"/>
        </w:rPr>
        <w:t>specific</w:t>
      </w:r>
      <w:r>
        <w:rPr>
          <w:rFonts w:asciiTheme="minorHAnsi" w:hAnsiTheme="minorHAnsi"/>
          <w:szCs w:val="22"/>
        </w:rPr>
        <w:t xml:space="preserve"> barriers</w:t>
      </w:r>
      <w:r w:rsidRPr="009944E9">
        <w:rPr>
          <w:rFonts w:asciiTheme="minorHAnsi" w:hAnsiTheme="minorHAnsi"/>
          <w:szCs w:val="22"/>
        </w:rPr>
        <w:t xml:space="preserve">, such as </w:t>
      </w:r>
      <w:r>
        <w:rPr>
          <w:rFonts w:asciiTheme="minorHAnsi" w:hAnsiTheme="minorHAnsi"/>
          <w:szCs w:val="22"/>
        </w:rPr>
        <w:t xml:space="preserve">those facing </w:t>
      </w:r>
      <w:r w:rsidRPr="009944E9">
        <w:rPr>
          <w:rFonts w:asciiTheme="minorHAnsi" w:hAnsiTheme="minorHAnsi"/>
          <w:szCs w:val="22"/>
        </w:rPr>
        <w:t xml:space="preserve">Uber, or </w:t>
      </w:r>
      <w:r>
        <w:rPr>
          <w:rFonts w:asciiTheme="minorHAnsi" w:hAnsiTheme="minorHAnsi"/>
          <w:szCs w:val="22"/>
        </w:rPr>
        <w:t xml:space="preserve">the barrier constituted by the fact that </w:t>
      </w:r>
      <w:r w:rsidRPr="009944E9">
        <w:rPr>
          <w:rFonts w:asciiTheme="minorHAnsi" w:hAnsiTheme="minorHAnsi"/>
          <w:szCs w:val="22"/>
        </w:rPr>
        <w:t>general complexity</w:t>
      </w:r>
      <w:r>
        <w:rPr>
          <w:rFonts w:asciiTheme="minorHAnsi" w:hAnsiTheme="minorHAnsi"/>
          <w:szCs w:val="22"/>
        </w:rPr>
        <w:t xml:space="preserve"> favours incumbency</w:t>
      </w:r>
      <w:r w:rsidRPr="009944E9">
        <w:rPr>
          <w:rFonts w:asciiTheme="minorHAnsi" w:hAnsiTheme="minorHAnsi"/>
          <w:szCs w:val="22"/>
        </w:rPr>
        <w:t>)</w:t>
      </w:r>
      <w:r>
        <w:rPr>
          <w:rFonts w:asciiTheme="minorHAnsi" w:hAnsiTheme="minorHAnsi"/>
          <w:szCs w:val="22"/>
        </w:rPr>
        <w:t>;</w:t>
      </w:r>
      <w:r w:rsidRPr="009944E9">
        <w:rPr>
          <w:rFonts w:asciiTheme="minorHAnsi" w:hAnsiTheme="minorHAnsi"/>
          <w:szCs w:val="22"/>
        </w:rPr>
        <w:t xml:space="preserve"> unintended</w:t>
      </w:r>
      <w:r>
        <w:rPr>
          <w:rFonts w:asciiTheme="minorHAnsi" w:hAnsiTheme="minorHAnsi"/>
          <w:szCs w:val="22"/>
        </w:rPr>
        <w:t xml:space="preserve"> </w:t>
      </w:r>
      <w:r w:rsidRPr="009944E9">
        <w:rPr>
          <w:rFonts w:asciiTheme="minorHAnsi" w:hAnsiTheme="minorHAnsi"/>
          <w:szCs w:val="22"/>
        </w:rPr>
        <w:t>consequences</w:t>
      </w:r>
      <w:r>
        <w:rPr>
          <w:rFonts w:asciiTheme="minorHAnsi" w:hAnsiTheme="minorHAnsi"/>
          <w:szCs w:val="22"/>
        </w:rPr>
        <w:t>;</w:t>
      </w:r>
      <w:r w:rsidRPr="009944E9">
        <w:rPr>
          <w:rFonts w:asciiTheme="minorHAnsi" w:hAnsiTheme="minorHAnsi"/>
          <w:szCs w:val="22"/>
        </w:rPr>
        <w:t xml:space="preserve"> and whether the balance between compliance costs and benefits</w:t>
      </w:r>
      <w:r>
        <w:rPr>
          <w:rFonts w:asciiTheme="minorHAnsi" w:hAnsiTheme="minorHAnsi"/>
          <w:szCs w:val="22"/>
        </w:rPr>
        <w:t xml:space="preserve"> to the community</w:t>
      </w:r>
      <w:r w:rsidRPr="009944E9">
        <w:rPr>
          <w:rFonts w:asciiTheme="minorHAnsi" w:hAnsiTheme="minorHAnsi"/>
          <w:szCs w:val="22"/>
        </w:rPr>
        <w:t xml:space="preserve"> continue to justify the regulation’s </w:t>
      </w:r>
      <w:r>
        <w:rPr>
          <w:rFonts w:asciiTheme="minorHAnsi" w:hAnsiTheme="minorHAnsi"/>
          <w:szCs w:val="22"/>
        </w:rPr>
        <w:t>existence</w:t>
      </w:r>
      <w:r w:rsidRPr="009944E9">
        <w:rPr>
          <w:rFonts w:asciiTheme="minorHAnsi" w:hAnsiTheme="minorHAnsi"/>
          <w:szCs w:val="22"/>
        </w:rPr>
        <w:t>.</w:t>
      </w:r>
    </w:p>
    <w:p w:rsidR="00F52F60" w:rsidRPr="009944E9" w:rsidRDefault="00F52F60" w:rsidP="00F52F60">
      <w:pPr>
        <w:spacing w:after="120" w:line="276" w:lineRule="auto"/>
        <w:rPr>
          <w:rFonts w:asciiTheme="minorHAnsi" w:hAnsiTheme="minorHAnsi"/>
          <w:szCs w:val="22"/>
        </w:rPr>
      </w:pPr>
      <w:r w:rsidRPr="009944E9">
        <w:rPr>
          <w:rFonts w:asciiTheme="minorHAnsi" w:hAnsiTheme="minorHAnsi"/>
          <w:szCs w:val="22"/>
        </w:rPr>
        <w:t xml:space="preserve">What are some principles that </w:t>
      </w:r>
      <w:r w:rsidR="003E0165">
        <w:rPr>
          <w:rFonts w:asciiTheme="minorHAnsi" w:hAnsiTheme="minorHAnsi"/>
          <w:szCs w:val="22"/>
        </w:rPr>
        <w:t>sh</w:t>
      </w:r>
      <w:r w:rsidR="00006DB0">
        <w:rPr>
          <w:rFonts w:asciiTheme="minorHAnsi" w:hAnsiTheme="minorHAnsi"/>
          <w:szCs w:val="22"/>
        </w:rPr>
        <w:t>ould be</w:t>
      </w:r>
      <w:r w:rsidRPr="009944E9">
        <w:rPr>
          <w:rFonts w:asciiTheme="minorHAnsi" w:hAnsiTheme="minorHAnsi"/>
          <w:szCs w:val="22"/>
        </w:rPr>
        <w:t xml:space="preserve"> incorporate</w:t>
      </w:r>
      <w:r w:rsidR="00006DB0">
        <w:rPr>
          <w:rFonts w:asciiTheme="minorHAnsi" w:hAnsiTheme="minorHAnsi"/>
          <w:szCs w:val="22"/>
        </w:rPr>
        <w:t>d</w:t>
      </w:r>
      <w:r w:rsidRPr="009944E9">
        <w:rPr>
          <w:rFonts w:asciiTheme="minorHAnsi" w:hAnsiTheme="minorHAnsi"/>
          <w:szCs w:val="22"/>
        </w:rPr>
        <w:t xml:space="preserve"> in</w:t>
      </w:r>
      <w:r w:rsidR="00006DB0">
        <w:rPr>
          <w:rFonts w:asciiTheme="minorHAnsi" w:hAnsiTheme="minorHAnsi"/>
          <w:szCs w:val="22"/>
        </w:rPr>
        <w:t>to</w:t>
      </w:r>
      <w:r w:rsidRPr="009944E9">
        <w:rPr>
          <w:rFonts w:asciiTheme="minorHAnsi" w:hAnsiTheme="minorHAnsi"/>
          <w:szCs w:val="22"/>
        </w:rPr>
        <w:t xml:space="preserve"> a regulatory stewardship model </w:t>
      </w:r>
      <w:r w:rsidR="00C97EC8">
        <w:rPr>
          <w:rFonts w:asciiTheme="minorHAnsi" w:hAnsiTheme="minorHAnsi"/>
          <w:szCs w:val="22"/>
        </w:rPr>
        <w:t>for</w:t>
      </w:r>
      <w:r w:rsidR="00C97EC8" w:rsidRPr="009944E9">
        <w:rPr>
          <w:rFonts w:asciiTheme="minorHAnsi" w:hAnsiTheme="minorHAnsi"/>
          <w:szCs w:val="22"/>
        </w:rPr>
        <w:t xml:space="preserve"> </w:t>
      </w:r>
      <w:r w:rsidRPr="009944E9">
        <w:rPr>
          <w:rFonts w:asciiTheme="minorHAnsi" w:hAnsiTheme="minorHAnsi"/>
          <w:szCs w:val="22"/>
        </w:rPr>
        <w:t xml:space="preserve">Australia?  </w:t>
      </w:r>
    </w:p>
    <w:p w:rsidR="00470069" w:rsidRPr="00607F78" w:rsidRDefault="003E0165" w:rsidP="00470069">
      <w:pPr>
        <w:pStyle w:val="Bullet"/>
        <w:spacing w:before="0" w:after="120"/>
        <w:rPr>
          <w:rFonts w:asciiTheme="minorHAnsi" w:hAnsiTheme="minorHAnsi"/>
          <w:sz w:val="22"/>
          <w:szCs w:val="22"/>
        </w:rPr>
      </w:pPr>
      <w:r>
        <w:rPr>
          <w:rFonts w:asciiTheme="minorHAnsi" w:hAnsiTheme="minorHAnsi"/>
          <w:sz w:val="22"/>
          <w:szCs w:val="22"/>
        </w:rPr>
        <w:t>T</w:t>
      </w:r>
      <w:r w:rsidR="00175A16">
        <w:rPr>
          <w:rFonts w:asciiTheme="minorHAnsi" w:hAnsiTheme="minorHAnsi"/>
          <w:sz w:val="22"/>
          <w:szCs w:val="22"/>
        </w:rPr>
        <w:t>he</w:t>
      </w:r>
      <w:r w:rsidR="00F52F60" w:rsidRPr="00607F78">
        <w:rPr>
          <w:rFonts w:asciiTheme="minorHAnsi" w:hAnsiTheme="minorHAnsi"/>
          <w:sz w:val="22"/>
          <w:szCs w:val="22"/>
        </w:rPr>
        <w:t xml:space="preserve"> model should </w:t>
      </w:r>
      <w:r w:rsidR="00175A16">
        <w:rPr>
          <w:rFonts w:asciiTheme="minorHAnsi" w:hAnsiTheme="minorHAnsi"/>
          <w:sz w:val="22"/>
          <w:szCs w:val="22"/>
        </w:rPr>
        <w:t xml:space="preserve">set out </w:t>
      </w:r>
      <w:r w:rsidR="00470069">
        <w:rPr>
          <w:rFonts w:asciiTheme="minorHAnsi" w:hAnsiTheme="minorHAnsi"/>
          <w:sz w:val="22"/>
          <w:szCs w:val="22"/>
        </w:rPr>
        <w:t>the requirement</w:t>
      </w:r>
      <w:r w:rsidR="00CA6BBD">
        <w:rPr>
          <w:rFonts w:asciiTheme="minorHAnsi" w:hAnsiTheme="minorHAnsi"/>
          <w:sz w:val="22"/>
          <w:szCs w:val="22"/>
        </w:rPr>
        <w:t>s</w:t>
      </w:r>
      <w:r w:rsidR="00470069">
        <w:rPr>
          <w:rFonts w:asciiTheme="minorHAnsi" w:hAnsiTheme="minorHAnsi"/>
          <w:sz w:val="22"/>
          <w:szCs w:val="22"/>
        </w:rPr>
        <w:t xml:space="preserve"> for a coherent programme of</w:t>
      </w:r>
      <w:r w:rsidR="00F52F60" w:rsidRPr="00607F78">
        <w:rPr>
          <w:rFonts w:asciiTheme="minorHAnsi" w:hAnsiTheme="minorHAnsi"/>
          <w:sz w:val="22"/>
          <w:szCs w:val="22"/>
        </w:rPr>
        <w:t xml:space="preserve"> evaluations </w:t>
      </w:r>
      <w:r w:rsidR="00A97628">
        <w:rPr>
          <w:rFonts w:asciiTheme="minorHAnsi" w:hAnsiTheme="minorHAnsi"/>
          <w:sz w:val="22"/>
          <w:szCs w:val="22"/>
        </w:rPr>
        <w:t>of regulations</w:t>
      </w:r>
      <w:r w:rsidR="00CA6BBD">
        <w:rPr>
          <w:rFonts w:asciiTheme="minorHAnsi" w:hAnsiTheme="minorHAnsi"/>
          <w:sz w:val="22"/>
          <w:szCs w:val="22"/>
        </w:rPr>
        <w:t>:</w:t>
      </w:r>
      <w:r w:rsidR="00470069">
        <w:rPr>
          <w:rFonts w:asciiTheme="minorHAnsi" w:hAnsiTheme="minorHAnsi"/>
          <w:sz w:val="22"/>
          <w:szCs w:val="22"/>
        </w:rPr>
        <w:t xml:space="preserve"> how they should be </w:t>
      </w:r>
      <w:r w:rsidR="00F52F60" w:rsidRPr="00607F78">
        <w:rPr>
          <w:rFonts w:asciiTheme="minorHAnsi" w:hAnsiTheme="minorHAnsi"/>
          <w:sz w:val="22"/>
          <w:szCs w:val="22"/>
        </w:rPr>
        <w:t xml:space="preserve">conducted, </w:t>
      </w:r>
      <w:r w:rsidR="00470069">
        <w:rPr>
          <w:rFonts w:asciiTheme="minorHAnsi" w:hAnsiTheme="minorHAnsi"/>
          <w:sz w:val="22"/>
          <w:szCs w:val="22"/>
        </w:rPr>
        <w:t>criteria for evaluation and targets for</w:t>
      </w:r>
      <w:r w:rsidR="00F52F60" w:rsidRPr="00607F78">
        <w:rPr>
          <w:rFonts w:asciiTheme="minorHAnsi" w:hAnsiTheme="minorHAnsi"/>
          <w:sz w:val="22"/>
          <w:szCs w:val="22"/>
        </w:rPr>
        <w:t xml:space="preserve"> success.</w:t>
      </w:r>
      <w:r w:rsidR="00470069" w:rsidRPr="00470069">
        <w:rPr>
          <w:rFonts w:asciiTheme="minorHAnsi" w:hAnsiTheme="minorHAnsi"/>
          <w:sz w:val="22"/>
          <w:szCs w:val="22"/>
        </w:rPr>
        <w:t xml:space="preserve"> </w:t>
      </w:r>
      <w:r w:rsidR="002511EF">
        <w:rPr>
          <w:rFonts w:asciiTheme="minorHAnsi" w:hAnsiTheme="minorHAnsi"/>
          <w:sz w:val="22"/>
          <w:szCs w:val="22"/>
        </w:rPr>
        <w:t xml:space="preserve"> </w:t>
      </w:r>
      <w:r w:rsidR="00470069">
        <w:rPr>
          <w:rFonts w:asciiTheme="minorHAnsi" w:hAnsiTheme="minorHAnsi"/>
          <w:sz w:val="22"/>
          <w:szCs w:val="22"/>
        </w:rPr>
        <w:t>Evaluations should consider</w:t>
      </w:r>
      <w:r w:rsidR="00470069" w:rsidRPr="00607F78">
        <w:rPr>
          <w:rFonts w:asciiTheme="minorHAnsi" w:hAnsiTheme="minorHAnsi"/>
          <w:sz w:val="22"/>
          <w:szCs w:val="22"/>
        </w:rPr>
        <w:t xml:space="preserve"> whether the benefits </w:t>
      </w:r>
      <w:r w:rsidR="00470069">
        <w:rPr>
          <w:rFonts w:asciiTheme="minorHAnsi" w:hAnsiTheme="minorHAnsi"/>
          <w:sz w:val="22"/>
          <w:szCs w:val="22"/>
        </w:rPr>
        <w:t xml:space="preserve">sought </w:t>
      </w:r>
      <w:r w:rsidR="00470069" w:rsidRPr="00607F78">
        <w:rPr>
          <w:rFonts w:asciiTheme="minorHAnsi" w:hAnsiTheme="minorHAnsi"/>
          <w:sz w:val="22"/>
          <w:szCs w:val="22"/>
        </w:rPr>
        <w:t xml:space="preserve">by the regulation </w:t>
      </w:r>
      <w:r w:rsidR="00470069">
        <w:rPr>
          <w:rFonts w:asciiTheme="minorHAnsi" w:hAnsiTheme="minorHAnsi"/>
          <w:sz w:val="22"/>
          <w:szCs w:val="22"/>
        </w:rPr>
        <w:t xml:space="preserve">have been achieved and </w:t>
      </w:r>
      <w:r w:rsidR="002A390E">
        <w:rPr>
          <w:rFonts w:asciiTheme="minorHAnsi" w:hAnsiTheme="minorHAnsi"/>
          <w:sz w:val="22"/>
          <w:szCs w:val="22"/>
        </w:rPr>
        <w:t xml:space="preserve">whether </w:t>
      </w:r>
      <w:r w:rsidR="00470069">
        <w:rPr>
          <w:rFonts w:asciiTheme="minorHAnsi" w:hAnsiTheme="minorHAnsi"/>
          <w:sz w:val="22"/>
          <w:szCs w:val="22"/>
        </w:rPr>
        <w:t xml:space="preserve">they do in fact </w:t>
      </w:r>
      <w:r w:rsidR="00470069" w:rsidRPr="00607F78">
        <w:rPr>
          <w:rFonts w:asciiTheme="minorHAnsi" w:hAnsiTheme="minorHAnsi"/>
          <w:sz w:val="22"/>
          <w:szCs w:val="22"/>
        </w:rPr>
        <w:t xml:space="preserve">outweigh the costs of placing </w:t>
      </w:r>
      <w:r w:rsidR="00470069">
        <w:rPr>
          <w:rFonts w:asciiTheme="minorHAnsi" w:hAnsiTheme="minorHAnsi"/>
          <w:sz w:val="22"/>
          <w:szCs w:val="22"/>
        </w:rPr>
        <w:t>restrictions</w:t>
      </w:r>
      <w:r w:rsidR="00470069" w:rsidRPr="00607F78">
        <w:rPr>
          <w:rFonts w:asciiTheme="minorHAnsi" w:hAnsiTheme="minorHAnsi"/>
          <w:sz w:val="22"/>
          <w:szCs w:val="22"/>
        </w:rPr>
        <w:t xml:space="preserve"> on the regulated population</w:t>
      </w:r>
      <w:r w:rsidR="00470069">
        <w:rPr>
          <w:rFonts w:asciiTheme="minorHAnsi" w:hAnsiTheme="minorHAnsi"/>
          <w:sz w:val="22"/>
          <w:szCs w:val="22"/>
        </w:rPr>
        <w:t>.</w:t>
      </w:r>
      <w:r w:rsidR="00470069" w:rsidRPr="00470069">
        <w:rPr>
          <w:rFonts w:asciiTheme="minorHAnsi" w:hAnsiTheme="minorHAnsi"/>
          <w:sz w:val="22"/>
          <w:szCs w:val="22"/>
        </w:rPr>
        <w:t xml:space="preserve"> </w:t>
      </w:r>
      <w:r w:rsidR="002511EF">
        <w:rPr>
          <w:rFonts w:asciiTheme="minorHAnsi" w:hAnsiTheme="minorHAnsi"/>
          <w:sz w:val="22"/>
          <w:szCs w:val="22"/>
        </w:rPr>
        <w:t xml:space="preserve"> </w:t>
      </w:r>
      <w:r w:rsidR="00470069">
        <w:rPr>
          <w:rFonts w:asciiTheme="minorHAnsi" w:hAnsiTheme="minorHAnsi"/>
          <w:sz w:val="22"/>
          <w:szCs w:val="22"/>
        </w:rPr>
        <w:t xml:space="preserve">Is </w:t>
      </w:r>
      <w:r w:rsidR="00470069" w:rsidRPr="00607F78">
        <w:rPr>
          <w:rFonts w:asciiTheme="minorHAnsi" w:hAnsiTheme="minorHAnsi"/>
          <w:sz w:val="22"/>
          <w:szCs w:val="22"/>
        </w:rPr>
        <w:t>there</w:t>
      </w:r>
      <w:r w:rsidR="00470069">
        <w:rPr>
          <w:rFonts w:asciiTheme="minorHAnsi" w:hAnsiTheme="minorHAnsi"/>
          <w:sz w:val="22"/>
          <w:szCs w:val="22"/>
        </w:rPr>
        <w:t xml:space="preserve"> </w:t>
      </w:r>
      <w:r w:rsidR="00470069" w:rsidRPr="00607F78">
        <w:rPr>
          <w:rFonts w:asciiTheme="minorHAnsi" w:hAnsiTheme="minorHAnsi"/>
          <w:sz w:val="22"/>
          <w:szCs w:val="22"/>
        </w:rPr>
        <w:t xml:space="preserve">consistency and interoperability between </w:t>
      </w:r>
      <w:r w:rsidR="00470069">
        <w:rPr>
          <w:rFonts w:asciiTheme="minorHAnsi" w:hAnsiTheme="minorHAnsi"/>
          <w:sz w:val="22"/>
          <w:szCs w:val="22"/>
        </w:rPr>
        <w:t>that</w:t>
      </w:r>
      <w:r w:rsidR="00470069" w:rsidRPr="00607F78">
        <w:rPr>
          <w:rFonts w:asciiTheme="minorHAnsi" w:hAnsiTheme="minorHAnsi"/>
          <w:sz w:val="22"/>
          <w:szCs w:val="22"/>
        </w:rPr>
        <w:t xml:space="preserve"> regulation and </w:t>
      </w:r>
      <w:r w:rsidR="00470069">
        <w:rPr>
          <w:rFonts w:asciiTheme="minorHAnsi" w:hAnsiTheme="minorHAnsi"/>
          <w:sz w:val="22"/>
          <w:szCs w:val="22"/>
        </w:rPr>
        <w:t>others that</w:t>
      </w:r>
      <w:r w:rsidR="00470069" w:rsidRPr="00607F78">
        <w:rPr>
          <w:rFonts w:asciiTheme="minorHAnsi" w:hAnsiTheme="minorHAnsi"/>
          <w:sz w:val="22"/>
          <w:szCs w:val="22"/>
        </w:rPr>
        <w:t xml:space="preserve"> c</w:t>
      </w:r>
      <w:r w:rsidR="00470069">
        <w:rPr>
          <w:rFonts w:asciiTheme="minorHAnsi" w:hAnsiTheme="minorHAnsi"/>
          <w:sz w:val="22"/>
          <w:szCs w:val="22"/>
        </w:rPr>
        <w:t>ame before and after it?</w:t>
      </w:r>
    </w:p>
    <w:p w:rsidR="00F52F60" w:rsidRPr="00607F78" w:rsidRDefault="00470069" w:rsidP="00F52F60">
      <w:pPr>
        <w:pStyle w:val="Bullet"/>
        <w:spacing w:before="0" w:after="120"/>
        <w:rPr>
          <w:rFonts w:asciiTheme="minorHAnsi" w:hAnsiTheme="minorHAnsi"/>
          <w:sz w:val="22"/>
          <w:szCs w:val="22"/>
        </w:rPr>
      </w:pPr>
      <w:r>
        <w:rPr>
          <w:rFonts w:asciiTheme="minorHAnsi" w:hAnsiTheme="minorHAnsi"/>
          <w:sz w:val="22"/>
          <w:szCs w:val="22"/>
        </w:rPr>
        <w:t>The approach</w:t>
      </w:r>
      <w:r w:rsidR="00F52F60" w:rsidRPr="00607F78">
        <w:rPr>
          <w:rFonts w:asciiTheme="minorHAnsi" w:hAnsiTheme="minorHAnsi"/>
          <w:sz w:val="22"/>
          <w:szCs w:val="22"/>
        </w:rPr>
        <w:t xml:space="preserve"> should </w:t>
      </w:r>
      <w:r>
        <w:rPr>
          <w:rFonts w:asciiTheme="minorHAnsi" w:hAnsiTheme="minorHAnsi"/>
          <w:sz w:val="22"/>
          <w:szCs w:val="22"/>
        </w:rPr>
        <w:t>require</w:t>
      </w:r>
      <w:r w:rsidR="00F52F60" w:rsidRPr="00607F78">
        <w:rPr>
          <w:rFonts w:asciiTheme="minorHAnsi" w:hAnsiTheme="minorHAnsi"/>
          <w:sz w:val="22"/>
          <w:szCs w:val="22"/>
        </w:rPr>
        <w:t xml:space="preserve"> a </w:t>
      </w:r>
      <w:r w:rsidR="00A97628">
        <w:rPr>
          <w:rFonts w:asciiTheme="minorHAnsi" w:hAnsiTheme="minorHAnsi"/>
          <w:sz w:val="22"/>
          <w:szCs w:val="22"/>
        </w:rPr>
        <w:t>commitment</w:t>
      </w:r>
      <w:r w:rsidR="00F52F60" w:rsidRPr="00607F78">
        <w:rPr>
          <w:rFonts w:asciiTheme="minorHAnsi" w:hAnsiTheme="minorHAnsi"/>
          <w:sz w:val="22"/>
          <w:szCs w:val="22"/>
        </w:rPr>
        <w:t xml:space="preserve"> to consultation with </w:t>
      </w:r>
      <w:r w:rsidR="00751B2D">
        <w:rPr>
          <w:rFonts w:asciiTheme="minorHAnsi" w:hAnsiTheme="minorHAnsi"/>
          <w:sz w:val="22"/>
          <w:szCs w:val="22"/>
        </w:rPr>
        <w:t>the</w:t>
      </w:r>
      <w:r w:rsidR="00F52F60" w:rsidRPr="00607F78">
        <w:rPr>
          <w:rFonts w:asciiTheme="minorHAnsi" w:hAnsiTheme="minorHAnsi"/>
          <w:sz w:val="22"/>
          <w:szCs w:val="22"/>
        </w:rPr>
        <w:t xml:space="preserve"> population that</w:t>
      </w:r>
      <w:r w:rsidR="00751B2D">
        <w:rPr>
          <w:rFonts w:asciiTheme="minorHAnsi" w:hAnsiTheme="minorHAnsi"/>
          <w:sz w:val="22"/>
          <w:szCs w:val="22"/>
        </w:rPr>
        <w:t xml:space="preserve"> is being </w:t>
      </w:r>
      <w:r w:rsidR="00F52F60" w:rsidRPr="00607F78">
        <w:rPr>
          <w:rFonts w:asciiTheme="minorHAnsi" w:hAnsiTheme="minorHAnsi"/>
          <w:sz w:val="22"/>
          <w:szCs w:val="22"/>
        </w:rPr>
        <w:t xml:space="preserve">regulated.  </w:t>
      </w:r>
      <w:r>
        <w:rPr>
          <w:rFonts w:asciiTheme="minorHAnsi" w:hAnsiTheme="minorHAnsi"/>
          <w:sz w:val="22"/>
          <w:szCs w:val="22"/>
        </w:rPr>
        <w:t xml:space="preserve">Key questions would include: </w:t>
      </w:r>
      <w:r w:rsidR="00175A16">
        <w:rPr>
          <w:rFonts w:asciiTheme="minorHAnsi" w:hAnsiTheme="minorHAnsi"/>
          <w:sz w:val="22"/>
          <w:szCs w:val="22"/>
        </w:rPr>
        <w:t>Do</w:t>
      </w:r>
      <w:r w:rsidR="00175A16" w:rsidRPr="00607F78">
        <w:rPr>
          <w:rFonts w:asciiTheme="minorHAnsi" w:hAnsiTheme="minorHAnsi"/>
          <w:sz w:val="22"/>
          <w:szCs w:val="22"/>
        </w:rPr>
        <w:t xml:space="preserve"> </w:t>
      </w:r>
      <w:r w:rsidR="00F52F60" w:rsidRPr="00607F78">
        <w:rPr>
          <w:rFonts w:asciiTheme="minorHAnsi" w:hAnsiTheme="minorHAnsi"/>
          <w:sz w:val="22"/>
          <w:szCs w:val="22"/>
        </w:rPr>
        <w:t>the key stakeholders that make up the regulated population engag</w:t>
      </w:r>
      <w:r w:rsidR="00175A16">
        <w:rPr>
          <w:rFonts w:asciiTheme="minorHAnsi" w:hAnsiTheme="minorHAnsi"/>
          <w:sz w:val="22"/>
          <w:szCs w:val="22"/>
        </w:rPr>
        <w:t>e</w:t>
      </w:r>
      <w:r w:rsidR="00F52F60" w:rsidRPr="00607F78">
        <w:rPr>
          <w:rFonts w:asciiTheme="minorHAnsi" w:hAnsiTheme="minorHAnsi"/>
          <w:sz w:val="22"/>
          <w:szCs w:val="22"/>
        </w:rPr>
        <w:t xml:space="preserve"> with the regulations in the way </w:t>
      </w:r>
      <w:r w:rsidR="00175A16">
        <w:rPr>
          <w:rFonts w:asciiTheme="minorHAnsi" w:hAnsiTheme="minorHAnsi"/>
          <w:sz w:val="22"/>
          <w:szCs w:val="22"/>
        </w:rPr>
        <w:t xml:space="preserve">that was </w:t>
      </w:r>
      <w:r w:rsidR="00F52F60" w:rsidRPr="00607F78">
        <w:rPr>
          <w:rFonts w:asciiTheme="minorHAnsi" w:hAnsiTheme="minorHAnsi"/>
          <w:sz w:val="22"/>
          <w:szCs w:val="22"/>
        </w:rPr>
        <w:t xml:space="preserve">envisaged, and what are their views on the regulation’s efficacy and desirability?  </w:t>
      </w:r>
    </w:p>
    <w:p w:rsidR="00F52F60" w:rsidRPr="003E0165" w:rsidRDefault="00F52F60" w:rsidP="003E0165">
      <w:pPr>
        <w:pStyle w:val="Bullet"/>
        <w:spacing w:before="0" w:after="120"/>
        <w:rPr>
          <w:rFonts w:asciiTheme="minorHAnsi" w:hAnsiTheme="minorHAnsi"/>
          <w:sz w:val="22"/>
          <w:szCs w:val="22"/>
        </w:rPr>
      </w:pPr>
      <w:r w:rsidRPr="00FA79EF">
        <w:rPr>
          <w:rFonts w:asciiTheme="minorHAnsi" w:hAnsiTheme="minorHAnsi"/>
          <w:sz w:val="22"/>
          <w:szCs w:val="22"/>
        </w:rPr>
        <w:t xml:space="preserve">Finally, </w:t>
      </w:r>
      <w:r w:rsidR="00175A16">
        <w:rPr>
          <w:rFonts w:asciiTheme="minorHAnsi" w:hAnsiTheme="minorHAnsi"/>
          <w:sz w:val="22"/>
          <w:szCs w:val="22"/>
        </w:rPr>
        <w:t xml:space="preserve">the </w:t>
      </w:r>
      <w:r w:rsidR="00470069">
        <w:rPr>
          <w:rFonts w:asciiTheme="minorHAnsi" w:hAnsiTheme="minorHAnsi"/>
          <w:sz w:val="22"/>
          <w:szCs w:val="22"/>
        </w:rPr>
        <w:t xml:space="preserve">regulatory framework needs to cater for continuous improvement, </w:t>
      </w:r>
      <w:r w:rsidR="003E0165">
        <w:rPr>
          <w:rFonts w:asciiTheme="minorHAnsi" w:hAnsiTheme="minorHAnsi"/>
          <w:sz w:val="22"/>
          <w:szCs w:val="22"/>
        </w:rPr>
        <w:t xml:space="preserve">with the </w:t>
      </w:r>
      <w:r w:rsidR="00751B2D">
        <w:rPr>
          <w:rFonts w:asciiTheme="minorHAnsi" w:hAnsiTheme="minorHAnsi"/>
          <w:sz w:val="22"/>
          <w:szCs w:val="22"/>
        </w:rPr>
        <w:t xml:space="preserve">role of specifying </w:t>
      </w:r>
      <w:r w:rsidR="003E0165">
        <w:rPr>
          <w:rFonts w:asciiTheme="minorHAnsi" w:hAnsiTheme="minorHAnsi"/>
          <w:sz w:val="22"/>
          <w:szCs w:val="22"/>
        </w:rPr>
        <w:t>details that are likely to change most frequently</w:t>
      </w:r>
      <w:r w:rsidR="00751B2D">
        <w:rPr>
          <w:rFonts w:asciiTheme="minorHAnsi" w:hAnsiTheme="minorHAnsi"/>
          <w:sz w:val="22"/>
          <w:szCs w:val="22"/>
        </w:rPr>
        <w:t xml:space="preserve"> being</w:t>
      </w:r>
      <w:r w:rsidR="003E0165">
        <w:rPr>
          <w:rFonts w:asciiTheme="minorHAnsi" w:hAnsiTheme="minorHAnsi"/>
          <w:sz w:val="22"/>
          <w:szCs w:val="22"/>
        </w:rPr>
        <w:t xml:space="preserve"> assigned to the appropriate level in the regulatory hierarchy, as described above for the Consumer Data Right in Open Banking.</w:t>
      </w:r>
    </w:p>
    <w:p w:rsidR="00F52F60" w:rsidRPr="009944E9" w:rsidRDefault="00F52F60" w:rsidP="00F52F60">
      <w:pPr>
        <w:pStyle w:val="Heading2"/>
      </w:pPr>
      <w:r w:rsidRPr="009944E9">
        <w:t>Conclusion</w:t>
      </w:r>
    </w:p>
    <w:p w:rsidR="00F52F60" w:rsidRDefault="005A2B0A" w:rsidP="00F52F60">
      <w:pPr>
        <w:spacing w:after="120" w:line="276" w:lineRule="auto"/>
        <w:rPr>
          <w:rFonts w:asciiTheme="minorHAnsi" w:hAnsiTheme="minorHAnsi"/>
          <w:szCs w:val="22"/>
        </w:rPr>
      </w:pPr>
      <w:r>
        <w:rPr>
          <w:rFonts w:asciiTheme="minorHAnsi" w:hAnsiTheme="minorHAnsi"/>
          <w:szCs w:val="22"/>
        </w:rPr>
        <w:t>W</w:t>
      </w:r>
      <w:r w:rsidR="00F52F60" w:rsidRPr="009944E9">
        <w:rPr>
          <w:rFonts w:asciiTheme="minorHAnsi" w:hAnsiTheme="minorHAnsi"/>
          <w:szCs w:val="22"/>
        </w:rPr>
        <w:t>e live in digital age where the pace of change is</w:t>
      </w:r>
      <w:r w:rsidR="00F52F60">
        <w:rPr>
          <w:rFonts w:asciiTheme="minorHAnsi" w:hAnsiTheme="minorHAnsi"/>
          <w:szCs w:val="22"/>
        </w:rPr>
        <w:t xml:space="preserve"> unprecedented and increasing. </w:t>
      </w:r>
      <w:r w:rsidR="003E0165">
        <w:rPr>
          <w:rFonts w:asciiTheme="minorHAnsi" w:hAnsiTheme="minorHAnsi"/>
          <w:szCs w:val="22"/>
        </w:rPr>
        <w:t>If o</w:t>
      </w:r>
      <w:r w:rsidR="00F52F60" w:rsidRPr="009944E9">
        <w:rPr>
          <w:rFonts w:asciiTheme="minorHAnsi" w:hAnsiTheme="minorHAnsi"/>
          <w:szCs w:val="22"/>
        </w:rPr>
        <w:t xml:space="preserve">ur regulatory frameworks </w:t>
      </w:r>
      <w:r w:rsidR="003E0165">
        <w:rPr>
          <w:rFonts w:asciiTheme="minorHAnsi" w:hAnsiTheme="minorHAnsi"/>
          <w:szCs w:val="22"/>
        </w:rPr>
        <w:t xml:space="preserve">are </w:t>
      </w:r>
      <w:r w:rsidR="00F52F60" w:rsidRPr="009944E9">
        <w:rPr>
          <w:rFonts w:asciiTheme="minorHAnsi" w:hAnsiTheme="minorHAnsi"/>
          <w:szCs w:val="22"/>
        </w:rPr>
        <w:t xml:space="preserve">allowed to lag behind changes in society </w:t>
      </w:r>
      <w:r w:rsidR="00A97628">
        <w:rPr>
          <w:rFonts w:asciiTheme="minorHAnsi" w:hAnsiTheme="minorHAnsi"/>
          <w:szCs w:val="22"/>
        </w:rPr>
        <w:t>brought</w:t>
      </w:r>
      <w:r w:rsidR="00A97628" w:rsidRPr="009944E9">
        <w:rPr>
          <w:rFonts w:asciiTheme="minorHAnsi" w:hAnsiTheme="minorHAnsi"/>
          <w:szCs w:val="22"/>
        </w:rPr>
        <w:t xml:space="preserve"> </w:t>
      </w:r>
      <w:r w:rsidR="003E0165">
        <w:rPr>
          <w:rFonts w:asciiTheme="minorHAnsi" w:hAnsiTheme="minorHAnsi"/>
          <w:szCs w:val="22"/>
        </w:rPr>
        <w:t xml:space="preserve">about </w:t>
      </w:r>
      <w:r w:rsidR="00F52F60" w:rsidRPr="009944E9">
        <w:rPr>
          <w:rFonts w:asciiTheme="minorHAnsi" w:hAnsiTheme="minorHAnsi"/>
          <w:szCs w:val="22"/>
        </w:rPr>
        <w:t>by the technological revolution</w:t>
      </w:r>
      <w:r w:rsidR="00A97628">
        <w:rPr>
          <w:rFonts w:asciiTheme="minorHAnsi" w:hAnsiTheme="minorHAnsi"/>
          <w:szCs w:val="22"/>
        </w:rPr>
        <w:t xml:space="preserve"> </w:t>
      </w:r>
      <w:r w:rsidR="00C04075">
        <w:rPr>
          <w:rFonts w:asciiTheme="minorHAnsi" w:hAnsiTheme="minorHAnsi"/>
          <w:szCs w:val="22"/>
        </w:rPr>
        <w:t>and its associated ‘disruptions’</w:t>
      </w:r>
      <w:r w:rsidR="005350D2">
        <w:rPr>
          <w:rFonts w:asciiTheme="minorHAnsi" w:hAnsiTheme="minorHAnsi"/>
          <w:szCs w:val="22"/>
        </w:rPr>
        <w:t>, the whole community pay</w:t>
      </w:r>
      <w:r w:rsidR="003E0165">
        <w:rPr>
          <w:rFonts w:asciiTheme="minorHAnsi" w:hAnsiTheme="minorHAnsi"/>
          <w:szCs w:val="22"/>
        </w:rPr>
        <w:t>s</w:t>
      </w:r>
      <w:r w:rsidR="005350D2">
        <w:rPr>
          <w:rFonts w:asciiTheme="minorHAnsi" w:hAnsiTheme="minorHAnsi"/>
          <w:szCs w:val="22"/>
        </w:rPr>
        <w:t xml:space="preserve"> the price</w:t>
      </w:r>
      <w:r w:rsidR="00F52F60" w:rsidRPr="009944E9">
        <w:rPr>
          <w:rFonts w:asciiTheme="minorHAnsi" w:hAnsiTheme="minorHAnsi"/>
          <w:szCs w:val="22"/>
        </w:rPr>
        <w:t xml:space="preserve">.  </w:t>
      </w:r>
    </w:p>
    <w:p w:rsidR="005350D2" w:rsidRPr="009944E9" w:rsidRDefault="00CF59E3" w:rsidP="00F52F60">
      <w:pPr>
        <w:spacing w:after="120" w:line="276" w:lineRule="auto"/>
        <w:rPr>
          <w:rFonts w:asciiTheme="minorHAnsi" w:hAnsiTheme="minorHAnsi"/>
          <w:szCs w:val="22"/>
        </w:rPr>
      </w:pPr>
      <w:r>
        <w:rPr>
          <w:rFonts w:asciiTheme="minorHAnsi" w:hAnsiTheme="minorHAnsi"/>
          <w:szCs w:val="22"/>
        </w:rPr>
        <w:t xml:space="preserve">A statutory mandate for </w:t>
      </w:r>
      <w:r w:rsidR="005350D2">
        <w:rPr>
          <w:rFonts w:asciiTheme="minorHAnsi" w:hAnsiTheme="minorHAnsi"/>
          <w:szCs w:val="22"/>
        </w:rPr>
        <w:t>Secretaries and agency</w:t>
      </w:r>
      <w:r w:rsidR="005350D2" w:rsidRPr="005350D2">
        <w:rPr>
          <w:rFonts w:asciiTheme="minorHAnsi" w:hAnsiTheme="minorHAnsi"/>
          <w:szCs w:val="22"/>
        </w:rPr>
        <w:t xml:space="preserve"> </w:t>
      </w:r>
      <w:r w:rsidR="003E0165" w:rsidRPr="005350D2">
        <w:rPr>
          <w:rFonts w:asciiTheme="minorHAnsi" w:hAnsiTheme="minorHAnsi"/>
          <w:szCs w:val="22"/>
        </w:rPr>
        <w:t xml:space="preserve">Chief Executives </w:t>
      </w:r>
      <w:r w:rsidR="005350D2" w:rsidRPr="005350D2">
        <w:rPr>
          <w:rFonts w:asciiTheme="minorHAnsi" w:hAnsiTheme="minorHAnsi"/>
          <w:szCs w:val="22"/>
        </w:rPr>
        <w:t>to exercise stewardship of regulatory systems</w:t>
      </w:r>
      <w:r w:rsidR="005350D2">
        <w:rPr>
          <w:rFonts w:asciiTheme="minorHAnsi" w:hAnsiTheme="minorHAnsi"/>
          <w:szCs w:val="22"/>
        </w:rPr>
        <w:t xml:space="preserve"> within their portfolio responsibilities would </w:t>
      </w:r>
      <w:r w:rsidR="005350D2" w:rsidRPr="009944E9">
        <w:rPr>
          <w:rFonts w:asciiTheme="minorHAnsi" w:hAnsiTheme="minorHAnsi"/>
          <w:szCs w:val="22"/>
        </w:rPr>
        <w:t xml:space="preserve">lay the foundations for a continuous improvement model for how we approach </w:t>
      </w:r>
      <w:r w:rsidR="00216268">
        <w:rPr>
          <w:rFonts w:asciiTheme="minorHAnsi" w:hAnsiTheme="minorHAnsi"/>
          <w:szCs w:val="22"/>
        </w:rPr>
        <w:t xml:space="preserve">imposing and reforming </w:t>
      </w:r>
      <w:r w:rsidR="005350D2">
        <w:rPr>
          <w:rFonts w:asciiTheme="minorHAnsi" w:hAnsiTheme="minorHAnsi"/>
          <w:szCs w:val="22"/>
        </w:rPr>
        <w:t>regulatory in Australia.  In this way w</w:t>
      </w:r>
      <w:r w:rsidR="005350D2" w:rsidRPr="009944E9">
        <w:rPr>
          <w:rFonts w:asciiTheme="minorHAnsi" w:hAnsiTheme="minorHAnsi"/>
          <w:szCs w:val="22"/>
        </w:rPr>
        <w:t>e’re likely to see better outcomes overall for individuals, businesses and community organisations.</w:t>
      </w:r>
    </w:p>
    <w:sectPr w:rsidR="005350D2" w:rsidRPr="009944E9" w:rsidSect="007670D3">
      <w:footerReference w:type="even" r:id="rId16"/>
      <w:footerReference w:type="default" r:id="rId17"/>
      <w:footerReference w:type="first" r:id="rId18"/>
      <w:pgSz w:w="11907" w:h="16840" w:code="9"/>
      <w:pgMar w:top="1418" w:right="1134" w:bottom="1134" w:left="1134" w:header="425" w:footer="51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36EE" w:rsidRDefault="002736EE">
      <w:r>
        <w:separator/>
      </w:r>
    </w:p>
  </w:endnote>
  <w:endnote w:type="continuationSeparator" w:id="0">
    <w:p w:rsidR="002736EE" w:rsidRDefault="002736EE">
      <w:r>
        <w:continuationSeparator/>
      </w:r>
    </w:p>
  </w:endnote>
  <w:endnote w:type="continuationNotice" w:id="1">
    <w:p w:rsidR="002736EE" w:rsidRDefault="002736E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89B" w:rsidRDefault="009E289B" w:rsidP="002B692A">
    <w:pPr>
      <w:pStyle w:val="SecurityClassificationFooter"/>
    </w:pPr>
  </w:p>
  <w:p w:rsidR="009E289B" w:rsidRDefault="009E289B" w:rsidP="002B692A">
    <w:pPr>
      <w:pStyle w:val="SecurityClassificationFooter"/>
    </w:pPr>
    <w:r>
      <w:fldChar w:fldCharType="begin"/>
    </w:r>
    <w:r>
      <w:instrText xml:space="preserve"> DOCPROPERTY WorkingDocStatus \* MERGEFORMAT </w:instrTex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0440039"/>
      <w:docPartObj>
        <w:docPartGallery w:val="Page Numbers (Bottom of Page)"/>
        <w:docPartUnique/>
      </w:docPartObj>
    </w:sdtPr>
    <w:sdtEndPr>
      <w:rPr>
        <w:noProof/>
      </w:rPr>
    </w:sdtEndPr>
    <w:sdtContent>
      <w:p w:rsidR="003E0165" w:rsidRDefault="003E0165">
        <w:pPr>
          <w:pStyle w:val="Footer"/>
          <w:jc w:val="center"/>
        </w:pPr>
        <w:r>
          <w:fldChar w:fldCharType="begin"/>
        </w:r>
        <w:r>
          <w:instrText xml:space="preserve"> PAGE   \* MERGEFORMAT </w:instrText>
        </w:r>
        <w:r>
          <w:fldChar w:fldCharType="separate"/>
        </w:r>
        <w:r w:rsidR="00BA6AC5">
          <w:rPr>
            <w:noProof/>
          </w:rPr>
          <w:t>6</w:t>
        </w:r>
        <w:r>
          <w:rPr>
            <w:noProof/>
          </w:rPr>
          <w:fldChar w:fldCharType="end"/>
        </w:r>
      </w:p>
    </w:sdtContent>
  </w:sdt>
  <w:p w:rsidR="009E289B" w:rsidRDefault="009E289B" w:rsidP="002B692A">
    <w:pPr>
      <w:pStyle w:val="SecurityClassification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107" w:type="dxa"/>
        <w:right w:w="107" w:type="dxa"/>
      </w:tblCellMar>
      <w:tblLook w:val="0000" w:firstRow="0" w:lastRow="0" w:firstColumn="0" w:lastColumn="0" w:noHBand="0" w:noVBand="0"/>
    </w:tblPr>
    <w:tblGrid>
      <w:gridCol w:w="1985"/>
      <w:gridCol w:w="1985"/>
      <w:gridCol w:w="1985"/>
      <w:gridCol w:w="1985"/>
      <w:gridCol w:w="1985"/>
    </w:tblGrid>
    <w:tr w:rsidR="009E289B">
      <w:trPr>
        <w:cantSplit/>
        <w:hidden w:val="0"/>
      </w:trPr>
      <w:tc>
        <w:tcPr>
          <w:tcW w:w="1985" w:type="dxa"/>
        </w:tcPr>
        <w:p w:rsidR="009E289B" w:rsidRDefault="009E289B">
          <w:pPr>
            <w:pStyle w:val="FooterCopies"/>
          </w:pPr>
          <w:r>
            <w:rPr>
              <w:noProof/>
              <w:vanish w:val="0"/>
            </w:rPr>
            <w:drawing>
              <wp:anchor distT="0" distB="0" distL="114300" distR="114300" simplePos="0" relativeHeight="251658240" behindDoc="1" locked="0" layoutInCell="1" allowOverlap="1" wp14:anchorId="34D0E611" wp14:editId="4D16E448">
                <wp:simplePos x="0" y="0"/>
                <wp:positionH relativeFrom="page">
                  <wp:posOffset>-487045</wp:posOffset>
                </wp:positionH>
                <wp:positionV relativeFrom="page">
                  <wp:posOffset>-332740</wp:posOffset>
                </wp:positionV>
                <wp:extent cx="7272000" cy="1202946"/>
                <wp:effectExtent l="0" t="0" r="5715"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_foote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272000" cy="120294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t>Copies to:</w:t>
          </w:r>
        </w:p>
      </w:tc>
      <w:tc>
        <w:tcPr>
          <w:tcW w:w="1985" w:type="dxa"/>
        </w:tcPr>
        <w:p w:rsidR="009E289B" w:rsidRDefault="009E289B">
          <w:pPr>
            <w:pStyle w:val="FooterCopies"/>
          </w:pPr>
        </w:p>
      </w:tc>
      <w:tc>
        <w:tcPr>
          <w:tcW w:w="1985" w:type="dxa"/>
        </w:tcPr>
        <w:p w:rsidR="009E289B" w:rsidRDefault="009E289B">
          <w:pPr>
            <w:pStyle w:val="FooterCopies"/>
          </w:pPr>
        </w:p>
      </w:tc>
      <w:tc>
        <w:tcPr>
          <w:tcW w:w="1985" w:type="dxa"/>
        </w:tcPr>
        <w:p w:rsidR="009E289B" w:rsidRDefault="009E289B">
          <w:pPr>
            <w:pStyle w:val="FooterCopies"/>
          </w:pPr>
        </w:p>
      </w:tc>
      <w:tc>
        <w:tcPr>
          <w:tcW w:w="1985" w:type="dxa"/>
        </w:tcPr>
        <w:p w:rsidR="009E289B" w:rsidRDefault="009E289B">
          <w:pPr>
            <w:pStyle w:val="FooterCopies"/>
          </w:pPr>
        </w:p>
      </w:tc>
    </w:tr>
  </w:tbl>
  <w:p w:rsidR="009E289B" w:rsidRPr="00375CB3" w:rsidRDefault="009E289B" w:rsidP="00A23E22">
    <w:pPr>
      <w:pStyle w:val="FooterAddress"/>
      <w:rPr>
        <w:sz w:val="12"/>
      </w:rPr>
    </w:pPr>
  </w:p>
  <w:p w:rsidR="009E289B" w:rsidRPr="00A23E22" w:rsidRDefault="009E289B" w:rsidP="00A23E22">
    <w:pPr>
      <w:pStyle w:val="FooterAddress"/>
      <w:rPr>
        <w:sz w:val="2"/>
      </w:rPr>
    </w:pPr>
  </w:p>
  <w:p w:rsidR="009E289B" w:rsidRDefault="009E289B" w:rsidP="00EE4B22">
    <w:pPr>
      <w:pStyle w:val="FooterAddress"/>
    </w:pPr>
    <w:r>
      <w:t>Langton Crescent, PARKES ACT 2600, AUSTRALIA</w:t>
    </w:r>
    <w:r>
      <w:br/>
      <w:t xml:space="preserve">P:  61 2 6263 3820   </w:t>
    </w:r>
    <w:r>
      <w:br/>
    </w:r>
    <w:r w:rsidRPr="00485E79">
      <w:t>www.treasury.gov.au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36EE" w:rsidRDefault="002736EE">
      <w:r>
        <w:separator/>
      </w:r>
    </w:p>
  </w:footnote>
  <w:footnote w:type="continuationSeparator" w:id="0">
    <w:p w:rsidR="002736EE" w:rsidRDefault="002736EE">
      <w:r>
        <w:continuationSeparator/>
      </w:r>
    </w:p>
  </w:footnote>
  <w:footnote w:type="continuationNotice" w:id="1">
    <w:p w:rsidR="002736EE" w:rsidRDefault="002736EE">
      <w:pPr>
        <w:spacing w:after="0"/>
      </w:pPr>
    </w:p>
  </w:footnote>
  <w:footnote w:id="2">
    <w:p w:rsidR="009E289B" w:rsidRPr="00115F27" w:rsidRDefault="009E289B" w:rsidP="00857D2E">
      <w:pPr>
        <w:pStyle w:val="FootnoteText"/>
        <w:ind w:left="567" w:hanging="567"/>
      </w:pPr>
      <w:r w:rsidRPr="00115F27">
        <w:rPr>
          <w:rStyle w:val="FootnoteReference"/>
          <w:vertAlign w:val="baseline"/>
        </w:rPr>
        <w:footnoteRef/>
      </w:r>
      <w:r>
        <w:t>.</w:t>
      </w:r>
      <w:r>
        <w:tab/>
      </w:r>
      <w:r w:rsidRPr="00115F27">
        <w:t>Productivity Commission (2015), Business Set-up, Transfer and Closure – Productivity Commission Inquiry Report No. 75, 30 September 2015, Commonwealth of Australia, Canberra.</w:t>
      </w:r>
    </w:p>
  </w:footnote>
  <w:footnote w:id="3">
    <w:p w:rsidR="009E289B" w:rsidRPr="00115F27" w:rsidRDefault="009E289B" w:rsidP="00857D2E">
      <w:pPr>
        <w:pStyle w:val="FootnoteText"/>
        <w:ind w:left="567" w:hanging="567"/>
      </w:pPr>
      <w:r w:rsidRPr="00115F27">
        <w:rPr>
          <w:rStyle w:val="FootnoteReference"/>
          <w:vertAlign w:val="baseline"/>
        </w:rPr>
        <w:footnoteRef/>
      </w:r>
      <w:r>
        <w:t>.</w:t>
      </w:r>
      <w:r>
        <w:tab/>
      </w:r>
      <w:r w:rsidRPr="00115F27">
        <w:t>The Treasury (2015), Stocktake of Regulation – Final Report, Commonwealth of Australia, Canberra.</w:t>
      </w:r>
    </w:p>
  </w:footnote>
  <w:footnote w:id="4">
    <w:p w:rsidR="009851AB" w:rsidRPr="00756861" w:rsidRDefault="009851AB" w:rsidP="000E4D0D">
      <w:pPr>
        <w:pStyle w:val="FootnoteText"/>
        <w:ind w:left="567" w:hanging="567"/>
      </w:pPr>
      <w:r w:rsidRPr="000E4D0D">
        <w:rPr>
          <w:rStyle w:val="FootnoteReference"/>
          <w:vertAlign w:val="baseline"/>
        </w:rPr>
        <w:footnoteRef/>
      </w:r>
      <w:r w:rsidRPr="00756861">
        <w:t>.</w:t>
      </w:r>
      <w:r w:rsidRPr="00756861">
        <w:tab/>
        <w:t>Australia regularly rank</w:t>
      </w:r>
      <w:r w:rsidR="00756861">
        <w:t xml:space="preserve">s </w:t>
      </w:r>
      <w:r w:rsidRPr="00756861">
        <w:t xml:space="preserve">highly in OECD reviews of regulatory discipline, based on </w:t>
      </w:r>
      <w:r w:rsidR="00756861" w:rsidRPr="00756861">
        <w:t xml:space="preserve">the establishment of the </w:t>
      </w:r>
      <w:r w:rsidR="00756861" w:rsidRPr="000E4D0D">
        <w:rPr>
          <w:i/>
        </w:rPr>
        <w:t>Office of Best Practice Regulation</w:t>
      </w:r>
      <w:r w:rsidR="00A22FB0">
        <w:t xml:space="preserve"> and</w:t>
      </w:r>
      <w:r w:rsidR="00756861" w:rsidRPr="00756861">
        <w:t xml:space="preserve"> </w:t>
      </w:r>
      <w:r w:rsidR="00756861">
        <w:t xml:space="preserve">its </w:t>
      </w:r>
      <w:r w:rsidR="00756861" w:rsidRPr="000E4D0D">
        <w:rPr>
          <w:i/>
        </w:rPr>
        <w:t>Regulation Impact Statement</w:t>
      </w:r>
      <w:r w:rsidR="00756861">
        <w:t xml:space="preserve"> process.  However </w:t>
      </w:r>
      <w:r w:rsidR="00A22FB0">
        <w:t xml:space="preserve">the </w:t>
      </w:r>
      <w:r w:rsidR="00756861">
        <w:t>gap between</w:t>
      </w:r>
      <w:r w:rsidR="00A22FB0">
        <w:t xml:space="preserve"> the </w:t>
      </w:r>
      <w:r w:rsidR="00756861">
        <w:t>sy</w:t>
      </w:r>
      <w:r w:rsidR="00A22FB0">
        <w:t>s</w:t>
      </w:r>
      <w:r w:rsidR="00756861">
        <w:t xml:space="preserve">tem in theory and in practice is </w:t>
      </w:r>
      <w:r w:rsidR="00A22FB0">
        <w:t>significant</w:t>
      </w:r>
      <w:r w:rsidR="00756861">
        <w:t>.</w:t>
      </w:r>
      <w:r w:rsidRPr="00756861">
        <w:t xml:space="preserve">  </w:t>
      </w:r>
    </w:p>
  </w:footnote>
  <w:footnote w:id="5">
    <w:p w:rsidR="009E289B" w:rsidRPr="00115F27" w:rsidRDefault="009E289B" w:rsidP="00857D2E">
      <w:pPr>
        <w:pStyle w:val="FootnoteText"/>
        <w:ind w:left="567" w:hanging="567"/>
      </w:pPr>
      <w:r w:rsidRPr="00115F27">
        <w:rPr>
          <w:rStyle w:val="FootnoteReference"/>
          <w:vertAlign w:val="baseline"/>
        </w:rPr>
        <w:footnoteRef/>
      </w:r>
      <w:r>
        <w:t>.</w:t>
      </w:r>
      <w:r>
        <w:tab/>
      </w:r>
      <w:r w:rsidRPr="00115F27">
        <w:t>Australian Government (2017), Annual Regulatory Reform Report 1 January 2016 – 30 June 2017, Commonwealth of Australia, Canberra.</w:t>
      </w:r>
    </w:p>
  </w:footnote>
  <w:footnote w:id="6">
    <w:p w:rsidR="009E289B" w:rsidRPr="00115F27" w:rsidRDefault="009E289B" w:rsidP="00857D2E">
      <w:pPr>
        <w:pStyle w:val="FootnoteText"/>
        <w:ind w:left="567" w:hanging="567"/>
      </w:pPr>
      <w:r w:rsidRPr="00115F27">
        <w:rPr>
          <w:rStyle w:val="FootnoteReference"/>
          <w:vertAlign w:val="baseline"/>
        </w:rPr>
        <w:footnoteRef/>
      </w:r>
      <w:r>
        <w:t>.</w:t>
      </w:r>
      <w:r>
        <w:tab/>
      </w:r>
      <w:r w:rsidRPr="00115F27">
        <w:t>These reviews include the 2014 Financial System Inquiry, the 2015 Competition Policy Review and the Productivity Commission’ 2015 report on Business Set-up, Transfer and Closure.</w:t>
      </w:r>
    </w:p>
  </w:footnote>
  <w:footnote w:id="7">
    <w:p w:rsidR="009E289B" w:rsidRPr="00115F27" w:rsidRDefault="009E289B" w:rsidP="00857D2E">
      <w:pPr>
        <w:pStyle w:val="FootnoteText"/>
        <w:ind w:left="567" w:hanging="567"/>
      </w:pPr>
      <w:r w:rsidRPr="00115F27">
        <w:rPr>
          <w:rStyle w:val="FootnoteReference"/>
          <w:vertAlign w:val="baseline"/>
        </w:rPr>
        <w:footnoteRef/>
      </w:r>
      <w:r w:rsidRPr="00115F27">
        <w:t>.</w:t>
      </w:r>
      <w:r w:rsidR="005A2B0A">
        <w:tab/>
      </w:r>
      <w:r w:rsidRPr="00115F27">
        <w:t xml:space="preserve">Adam Smith, </w:t>
      </w:r>
      <w:r w:rsidRPr="00115F27">
        <w:rPr>
          <w:i/>
        </w:rPr>
        <w:t>An Inquiry into the Nature and Causes of the Wealth of Nations</w:t>
      </w:r>
      <w:r w:rsidRPr="00115F27">
        <w:t>, Book V, Chapter II, Part</w:t>
      </w:r>
      <w:r>
        <w:t xml:space="preserve"> </w:t>
      </w:r>
      <w:r w:rsidRPr="00115F27">
        <w:t>II.</w:t>
      </w:r>
    </w:p>
  </w:footnote>
  <w:footnote w:id="8">
    <w:p w:rsidR="009E289B" w:rsidRPr="00115F27" w:rsidRDefault="009E289B" w:rsidP="00857D2E">
      <w:pPr>
        <w:pStyle w:val="FootnoteText"/>
        <w:ind w:left="567" w:hanging="567"/>
      </w:pPr>
      <w:r w:rsidRPr="00115F27">
        <w:rPr>
          <w:rStyle w:val="FootnoteReference"/>
          <w:vertAlign w:val="baseline"/>
        </w:rPr>
        <w:footnoteRef/>
      </w:r>
      <w:r w:rsidR="00857D2E">
        <w:t>.</w:t>
      </w:r>
      <w:r w:rsidR="00857D2E">
        <w:tab/>
      </w:r>
      <w:r w:rsidRPr="00115F27">
        <w:t xml:space="preserve">The Treasury 2018, </w:t>
      </w:r>
      <w:r w:rsidRPr="00115F27">
        <w:rPr>
          <w:i/>
        </w:rPr>
        <w:t>Consumer Data Right</w:t>
      </w:r>
      <w:r w:rsidRPr="00115F27">
        <w:t>, Commonwealth of Australia, Canberra.</w:t>
      </w:r>
    </w:p>
  </w:footnote>
  <w:footnote w:id="9">
    <w:p w:rsidR="009E289B" w:rsidRPr="00115F27" w:rsidRDefault="009E289B" w:rsidP="00857D2E">
      <w:pPr>
        <w:pStyle w:val="FootnoteText"/>
        <w:ind w:left="567" w:hanging="567"/>
      </w:pPr>
      <w:r w:rsidRPr="00115F27">
        <w:rPr>
          <w:rStyle w:val="FootnoteReference"/>
          <w:vertAlign w:val="baseline"/>
        </w:rPr>
        <w:footnoteRef/>
      </w:r>
      <w:r w:rsidR="00857D2E">
        <w:t>.</w:t>
      </w:r>
      <w:r w:rsidR="00857D2E">
        <w:tab/>
      </w:r>
      <w:r w:rsidRPr="00115F27">
        <w:t xml:space="preserve">New Zealand Government 2017, </w:t>
      </w:r>
      <w:r w:rsidRPr="00115F27">
        <w:rPr>
          <w:i/>
        </w:rPr>
        <w:t>Government Expectations for Good Regulatory Practice</w:t>
      </w:r>
      <w:r w:rsidRPr="00115F27">
        <w:t>, New Zealand Government, New Zealand.</w:t>
      </w:r>
    </w:p>
  </w:footnote>
  <w:footnote w:id="10">
    <w:p w:rsidR="00FA79EF" w:rsidRPr="00115F27" w:rsidRDefault="00FA79EF" w:rsidP="00FA79EF">
      <w:pPr>
        <w:pStyle w:val="FootnoteText"/>
        <w:ind w:left="567" w:hanging="567"/>
      </w:pPr>
      <w:r w:rsidRPr="00115F27">
        <w:rPr>
          <w:rStyle w:val="FootnoteReference"/>
          <w:vertAlign w:val="baseline"/>
        </w:rPr>
        <w:footnoteRef/>
      </w:r>
      <w:r>
        <w:t>.</w:t>
      </w:r>
      <w:r>
        <w:tab/>
      </w:r>
      <w:r w:rsidRPr="00115F27">
        <w:t xml:space="preserve">New Zealand Government 2017, </w:t>
      </w:r>
      <w:r w:rsidRPr="00115F27">
        <w:rPr>
          <w:i/>
        </w:rPr>
        <w:t>Government Expectations for Good Regulatory Practice</w:t>
      </w:r>
      <w:r w:rsidRPr="00115F27">
        <w:t>, New Zealand Government, New Zealand.</w:t>
      </w:r>
    </w:p>
  </w:footnote>
  <w:footnote w:id="11">
    <w:p w:rsidR="00FA79EF" w:rsidRPr="00115F27" w:rsidRDefault="00FA79EF" w:rsidP="00FA79EF">
      <w:pPr>
        <w:pStyle w:val="FootnoteText"/>
        <w:ind w:left="567" w:hanging="567"/>
      </w:pPr>
      <w:r w:rsidRPr="00115F27">
        <w:rPr>
          <w:rStyle w:val="FootnoteReference"/>
          <w:vertAlign w:val="baseline"/>
        </w:rPr>
        <w:footnoteRef/>
      </w:r>
      <w:r>
        <w:t>.</w:t>
      </w:r>
      <w:r>
        <w:tab/>
      </w:r>
      <w:r w:rsidRPr="00115F27">
        <w:t xml:space="preserve">The Treasury 2017, </w:t>
      </w:r>
      <w:r w:rsidRPr="00115F27">
        <w:rPr>
          <w:i/>
        </w:rPr>
        <w:t>Regulatory stewardship</w:t>
      </w:r>
      <w:r w:rsidRPr="00115F27">
        <w:t xml:space="preserve">, New Zealand Government, New Zealand, viewed 17 July 2018, </w:t>
      </w:r>
      <w:hyperlink r:id="rId1" w:history="1">
        <w:r w:rsidRPr="00115F27">
          <w:rPr>
            <w:rStyle w:val="Hyperlink"/>
          </w:rPr>
          <w:t>https://treasury.govt.nz/information-and-services/regulation/regulatory-stewardship</w:t>
        </w:r>
      </w:hyperlink>
      <w:r w:rsidRPr="00115F27">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329CA"/>
    <w:multiLevelType w:val="multilevel"/>
    <w:tmpl w:val="BE44C77E"/>
    <w:lvl w:ilvl="0">
      <w:start w:val="1"/>
      <w:numFmt w:val="bullet"/>
      <w:pStyle w:val="Bullet"/>
      <w:lvlText w:val="•"/>
      <w:lvlJc w:val="left"/>
      <w:pPr>
        <w:tabs>
          <w:tab w:val="num" w:pos="567"/>
        </w:tabs>
        <w:ind w:left="567" w:hanging="567"/>
      </w:pPr>
      <w:rPr>
        <w:rFonts w:ascii="Times New Roman" w:hAnsi="Times New Roman" w:cs="Times New Roman"/>
      </w:rPr>
    </w:lvl>
    <w:lvl w:ilvl="1">
      <w:start w:val="1"/>
      <w:numFmt w:val="bullet"/>
      <w:pStyle w:val="Dash"/>
      <w:lvlText w:val="–"/>
      <w:lvlJc w:val="left"/>
      <w:pPr>
        <w:tabs>
          <w:tab w:val="num" w:pos="1134"/>
        </w:tabs>
        <w:ind w:left="1134" w:hanging="567"/>
      </w:pPr>
      <w:rPr>
        <w:rFonts w:ascii="Times New Roman" w:hAnsi="Times New Roman" w:cs="Times New Roman"/>
      </w:rPr>
    </w:lvl>
    <w:lvl w:ilvl="2">
      <w:start w:val="1"/>
      <w:numFmt w:val="bullet"/>
      <w:pStyle w:val="DoubleDot"/>
      <w:lvlText w:val=":"/>
      <w:lvlJc w:val="left"/>
      <w:pPr>
        <w:tabs>
          <w:tab w:val="num" w:pos="1701"/>
        </w:tabs>
        <w:ind w:left="1701" w:hanging="567"/>
      </w:pPr>
      <w:rPr>
        <w:rFonts w:ascii="Times New Roman" w:hAnsi="Times New Roman" w:cs="Times New Roman"/>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proofState w:spelling="clean" w:grammar="clean"/>
  <w:attachedTemplate r:id="rId1"/>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efaultTabStop w:val="567"/>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noTabHangInd/>
    <w:noColumnBalance/>
    <w:suppressBottomSpacing/>
    <w:suppressTopSpacing/>
    <w:suppressSpBfAfterPgBrk/>
    <w:noSpaceRaiseLower/>
    <w:doNotUseHTMLParagraphAutoSpacing/>
    <w:growAutofi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42B88C00-D6E0-42B2-B8C8-84373096643C}"/>
    <w:docVar w:name="dgnword-eventsink" w:val="190009896"/>
    <w:docVar w:name="FOIClassificationInHeader" w:val="False"/>
    <w:docVar w:name="SecurityClassificationInHeader" w:val="False"/>
    <w:docVar w:name="SecurityDLMInHeader" w:val="False"/>
  </w:docVars>
  <w:rsids>
    <w:rsidRoot w:val="00EE4B22"/>
    <w:rsid w:val="00006DB0"/>
    <w:rsid w:val="00010558"/>
    <w:rsid w:val="00013C16"/>
    <w:rsid w:val="00021A7F"/>
    <w:rsid w:val="00041146"/>
    <w:rsid w:val="00041147"/>
    <w:rsid w:val="00051ABF"/>
    <w:rsid w:val="00057A0E"/>
    <w:rsid w:val="00062242"/>
    <w:rsid w:val="00070A45"/>
    <w:rsid w:val="00094A55"/>
    <w:rsid w:val="000B2E2F"/>
    <w:rsid w:val="000C23D8"/>
    <w:rsid w:val="000C3D77"/>
    <w:rsid w:val="000E4D0D"/>
    <w:rsid w:val="000E550D"/>
    <w:rsid w:val="000E5C3E"/>
    <w:rsid w:val="000E70A5"/>
    <w:rsid w:val="000F232A"/>
    <w:rsid w:val="00115F27"/>
    <w:rsid w:val="00136339"/>
    <w:rsid w:val="00142D01"/>
    <w:rsid w:val="001526FA"/>
    <w:rsid w:val="00156D02"/>
    <w:rsid w:val="00175A16"/>
    <w:rsid w:val="001932C7"/>
    <w:rsid w:val="001E612B"/>
    <w:rsid w:val="001F4A93"/>
    <w:rsid w:val="001F5439"/>
    <w:rsid w:val="002122C5"/>
    <w:rsid w:val="00213572"/>
    <w:rsid w:val="00216268"/>
    <w:rsid w:val="002511EF"/>
    <w:rsid w:val="002554F2"/>
    <w:rsid w:val="002617A8"/>
    <w:rsid w:val="002736EE"/>
    <w:rsid w:val="002A390E"/>
    <w:rsid w:val="002B41CD"/>
    <w:rsid w:val="002B4B41"/>
    <w:rsid w:val="002B692A"/>
    <w:rsid w:val="002C0C29"/>
    <w:rsid w:val="002E2A7F"/>
    <w:rsid w:val="002F1255"/>
    <w:rsid w:val="002F6B72"/>
    <w:rsid w:val="002F767C"/>
    <w:rsid w:val="00300186"/>
    <w:rsid w:val="003173E5"/>
    <w:rsid w:val="00337317"/>
    <w:rsid w:val="00344D5F"/>
    <w:rsid w:val="00375CB3"/>
    <w:rsid w:val="003E0165"/>
    <w:rsid w:val="003E2833"/>
    <w:rsid w:val="00410275"/>
    <w:rsid w:val="00416D04"/>
    <w:rsid w:val="004211E8"/>
    <w:rsid w:val="00422BAE"/>
    <w:rsid w:val="00430BA4"/>
    <w:rsid w:val="00436CCC"/>
    <w:rsid w:val="00437881"/>
    <w:rsid w:val="00444ADC"/>
    <w:rsid w:val="00454CAF"/>
    <w:rsid w:val="00470069"/>
    <w:rsid w:val="00472C1B"/>
    <w:rsid w:val="00485E79"/>
    <w:rsid w:val="00494952"/>
    <w:rsid w:val="00497BCF"/>
    <w:rsid w:val="004A6FF5"/>
    <w:rsid w:val="004C1432"/>
    <w:rsid w:val="004D088C"/>
    <w:rsid w:val="00502110"/>
    <w:rsid w:val="00505179"/>
    <w:rsid w:val="00521D21"/>
    <w:rsid w:val="00533794"/>
    <w:rsid w:val="005350D2"/>
    <w:rsid w:val="0058454C"/>
    <w:rsid w:val="00597087"/>
    <w:rsid w:val="005A2B0A"/>
    <w:rsid w:val="005D5C40"/>
    <w:rsid w:val="005F01D5"/>
    <w:rsid w:val="005F6A8E"/>
    <w:rsid w:val="005F6F02"/>
    <w:rsid w:val="005F7E5C"/>
    <w:rsid w:val="006178DD"/>
    <w:rsid w:val="0064071E"/>
    <w:rsid w:val="0064320F"/>
    <w:rsid w:val="00645CD2"/>
    <w:rsid w:val="006621AB"/>
    <w:rsid w:val="00664B5C"/>
    <w:rsid w:val="0067297D"/>
    <w:rsid w:val="006744A1"/>
    <w:rsid w:val="006944FB"/>
    <w:rsid w:val="006A1A29"/>
    <w:rsid w:val="006A320D"/>
    <w:rsid w:val="006B01A4"/>
    <w:rsid w:val="006C2084"/>
    <w:rsid w:val="006D1B74"/>
    <w:rsid w:val="006D32F0"/>
    <w:rsid w:val="006F2190"/>
    <w:rsid w:val="00711D3D"/>
    <w:rsid w:val="007232C5"/>
    <w:rsid w:val="007467C7"/>
    <w:rsid w:val="00750F24"/>
    <w:rsid w:val="00751B2D"/>
    <w:rsid w:val="00756861"/>
    <w:rsid w:val="007670D3"/>
    <w:rsid w:val="00770EDB"/>
    <w:rsid w:val="00772A91"/>
    <w:rsid w:val="0082105F"/>
    <w:rsid w:val="00833770"/>
    <w:rsid w:val="008365D6"/>
    <w:rsid w:val="00844E90"/>
    <w:rsid w:val="00857D2E"/>
    <w:rsid w:val="00857F46"/>
    <w:rsid w:val="008875B5"/>
    <w:rsid w:val="008C1204"/>
    <w:rsid w:val="00932A76"/>
    <w:rsid w:val="0094458C"/>
    <w:rsid w:val="009755F4"/>
    <w:rsid w:val="0098490B"/>
    <w:rsid w:val="009851AB"/>
    <w:rsid w:val="00990A62"/>
    <w:rsid w:val="009B20C4"/>
    <w:rsid w:val="009E289B"/>
    <w:rsid w:val="009E6A46"/>
    <w:rsid w:val="00A22FB0"/>
    <w:rsid w:val="00A237E6"/>
    <w:rsid w:val="00A23E22"/>
    <w:rsid w:val="00A24156"/>
    <w:rsid w:val="00A43225"/>
    <w:rsid w:val="00A4725F"/>
    <w:rsid w:val="00A47307"/>
    <w:rsid w:val="00A723FB"/>
    <w:rsid w:val="00A97628"/>
    <w:rsid w:val="00AB3B38"/>
    <w:rsid w:val="00AC1CEF"/>
    <w:rsid w:val="00AD44A4"/>
    <w:rsid w:val="00B112A0"/>
    <w:rsid w:val="00B35742"/>
    <w:rsid w:val="00B70020"/>
    <w:rsid w:val="00B81321"/>
    <w:rsid w:val="00B8256A"/>
    <w:rsid w:val="00B910BE"/>
    <w:rsid w:val="00BA38F4"/>
    <w:rsid w:val="00BA6AC5"/>
    <w:rsid w:val="00BA6C5B"/>
    <w:rsid w:val="00BC1AE6"/>
    <w:rsid w:val="00BC54FF"/>
    <w:rsid w:val="00BE32B3"/>
    <w:rsid w:val="00C01DE2"/>
    <w:rsid w:val="00C04075"/>
    <w:rsid w:val="00C5153A"/>
    <w:rsid w:val="00C52E5D"/>
    <w:rsid w:val="00C56264"/>
    <w:rsid w:val="00C5661D"/>
    <w:rsid w:val="00C66BA9"/>
    <w:rsid w:val="00C97EC8"/>
    <w:rsid w:val="00CA030C"/>
    <w:rsid w:val="00CA4BC1"/>
    <w:rsid w:val="00CA6135"/>
    <w:rsid w:val="00CA6BBD"/>
    <w:rsid w:val="00CF59E3"/>
    <w:rsid w:val="00D11CF9"/>
    <w:rsid w:val="00D52B30"/>
    <w:rsid w:val="00D65003"/>
    <w:rsid w:val="00D73DAC"/>
    <w:rsid w:val="00D7727F"/>
    <w:rsid w:val="00D9184F"/>
    <w:rsid w:val="00DB43BF"/>
    <w:rsid w:val="00DB470F"/>
    <w:rsid w:val="00E176BA"/>
    <w:rsid w:val="00E217CF"/>
    <w:rsid w:val="00E3622C"/>
    <w:rsid w:val="00E472DF"/>
    <w:rsid w:val="00E51C9D"/>
    <w:rsid w:val="00E5532A"/>
    <w:rsid w:val="00E627CC"/>
    <w:rsid w:val="00E74056"/>
    <w:rsid w:val="00E80363"/>
    <w:rsid w:val="00E90177"/>
    <w:rsid w:val="00E92356"/>
    <w:rsid w:val="00EA7801"/>
    <w:rsid w:val="00EA7C76"/>
    <w:rsid w:val="00EB0400"/>
    <w:rsid w:val="00EB68F4"/>
    <w:rsid w:val="00EC5544"/>
    <w:rsid w:val="00EE4B22"/>
    <w:rsid w:val="00F12655"/>
    <w:rsid w:val="00F25E6B"/>
    <w:rsid w:val="00F3446C"/>
    <w:rsid w:val="00F36FE7"/>
    <w:rsid w:val="00F52F60"/>
    <w:rsid w:val="00F8665A"/>
    <w:rsid w:val="00FA79EF"/>
    <w:rsid w:val="00FC6453"/>
    <w:rsid w:val="00FF01D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112A0"/>
    <w:pPr>
      <w:spacing w:after="240"/>
    </w:pPr>
    <w:rPr>
      <w:rFonts w:ascii="Calibri" w:hAnsi="Calibri"/>
      <w:sz w:val="22"/>
    </w:rPr>
  </w:style>
  <w:style w:type="paragraph" w:styleId="Heading1">
    <w:name w:val="heading 1"/>
    <w:basedOn w:val="Normal"/>
    <w:next w:val="Normal"/>
    <w:link w:val="Heading1Char"/>
    <w:qFormat/>
    <w:rsid w:val="00E51C9D"/>
    <w:pPr>
      <w:keepNext/>
      <w:spacing w:before="240" w:after="360"/>
      <w:outlineLvl w:val="0"/>
    </w:pPr>
    <w:rPr>
      <w:b/>
      <w:caps/>
      <w:sz w:val="28"/>
      <w:szCs w:val="28"/>
    </w:rPr>
  </w:style>
  <w:style w:type="paragraph" w:styleId="Heading2">
    <w:name w:val="heading 2"/>
    <w:basedOn w:val="Normal"/>
    <w:next w:val="Normal"/>
    <w:link w:val="Heading2Char"/>
    <w:uiPriority w:val="9"/>
    <w:qFormat/>
    <w:rsid w:val="00E51C9D"/>
    <w:pPr>
      <w:keepNext/>
      <w:spacing w:before="120"/>
      <w:outlineLvl w:val="1"/>
    </w:pPr>
    <w:rPr>
      <w:b/>
      <w:caps/>
    </w:rPr>
  </w:style>
  <w:style w:type="paragraph" w:styleId="Heading3">
    <w:name w:val="heading 3"/>
    <w:basedOn w:val="Normal"/>
    <w:next w:val="Normal"/>
    <w:qFormat/>
    <w:rsid w:val="00E51C9D"/>
    <w:pPr>
      <w:keepNext/>
      <w:spacing w:before="60"/>
      <w:outlineLvl w:val="2"/>
    </w:pPr>
    <w:rPr>
      <w:b/>
    </w:rPr>
  </w:style>
  <w:style w:type="paragraph" w:styleId="Heading4">
    <w:name w:val="heading 4"/>
    <w:basedOn w:val="Normal"/>
    <w:next w:val="Normal"/>
    <w:qFormat/>
    <w:rsid w:val="00E51C9D"/>
    <w:pPr>
      <w:keepNext/>
      <w:outlineLvl w:val="3"/>
    </w:pPr>
    <w:rPr>
      <w:i/>
      <w:szCs w:val="24"/>
    </w:rPr>
  </w:style>
  <w:style w:type="paragraph" w:styleId="Heading5">
    <w:name w:val="heading 5"/>
    <w:basedOn w:val="Normal"/>
    <w:next w:val="Normal"/>
    <w:qFormat/>
    <w:rsid w:val="006A1A29"/>
    <w:pPr>
      <w:spacing w:before="240"/>
      <w:outlineLvl w:val="4"/>
    </w:pPr>
    <w:rPr>
      <w:b/>
    </w:rPr>
  </w:style>
  <w:style w:type="paragraph" w:styleId="Heading6">
    <w:name w:val="heading 6"/>
    <w:basedOn w:val="Normal"/>
    <w:next w:val="Normal"/>
    <w:qFormat/>
    <w:rsid w:val="006A1A29"/>
    <w:pPr>
      <w:spacing w:before="240"/>
      <w:outlineLvl w:val="5"/>
    </w:pPr>
    <w:rPr>
      <w:i/>
    </w:rPr>
  </w:style>
  <w:style w:type="paragraph" w:styleId="Heading7">
    <w:name w:val="heading 7"/>
    <w:basedOn w:val="Normal"/>
    <w:next w:val="Normal"/>
    <w:qFormat/>
    <w:rsid w:val="006A1A29"/>
    <w:pPr>
      <w:keepNext/>
      <w:tabs>
        <w:tab w:val="right" w:pos="2835"/>
        <w:tab w:val="center" w:pos="4820"/>
      </w:tabs>
      <w:spacing w:after="0"/>
      <w:outlineLvl w:val="6"/>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tMainHeading">
    <w:name w:val="Chart Main Heading"/>
    <w:basedOn w:val="Normal"/>
    <w:next w:val="Normal"/>
    <w:rsid w:val="006A1A29"/>
    <w:pPr>
      <w:spacing w:after="0"/>
      <w:jc w:val="center"/>
    </w:pPr>
    <w:rPr>
      <w:b/>
      <w:caps/>
    </w:rPr>
  </w:style>
  <w:style w:type="paragraph" w:customStyle="1" w:styleId="ChartSecondHeading">
    <w:name w:val="Chart Second Heading"/>
    <w:basedOn w:val="Normal"/>
    <w:next w:val="Normal"/>
    <w:rsid w:val="006A1A29"/>
    <w:pPr>
      <w:spacing w:after="0"/>
      <w:jc w:val="center"/>
    </w:pPr>
    <w:rPr>
      <w:b/>
    </w:rPr>
  </w:style>
  <w:style w:type="paragraph" w:styleId="EnvelopeAddress">
    <w:name w:val="envelope address"/>
    <w:basedOn w:val="Normal"/>
    <w:rsid w:val="006A1A29"/>
    <w:pPr>
      <w:framePr w:w="7920" w:h="1980" w:hRule="exact" w:hSpace="180" w:wrap="auto" w:hAnchor="page" w:xAlign="center" w:yAlign="bottom"/>
      <w:spacing w:after="0"/>
      <w:ind w:left="2880"/>
    </w:pPr>
  </w:style>
  <w:style w:type="paragraph" w:styleId="Footer">
    <w:name w:val="footer"/>
    <w:basedOn w:val="Normal"/>
    <w:link w:val="FooterChar"/>
    <w:uiPriority w:val="99"/>
    <w:rsid w:val="006A1A29"/>
    <w:pPr>
      <w:tabs>
        <w:tab w:val="center" w:pos="4819"/>
        <w:tab w:val="right" w:pos="9639"/>
      </w:tabs>
    </w:pPr>
  </w:style>
  <w:style w:type="paragraph" w:styleId="Header">
    <w:name w:val="header"/>
    <w:basedOn w:val="Normal"/>
    <w:rsid w:val="006A1A29"/>
    <w:pPr>
      <w:tabs>
        <w:tab w:val="center" w:pos="4819"/>
        <w:tab w:val="right" w:pos="9639"/>
      </w:tabs>
    </w:pPr>
    <w:rPr>
      <w:b/>
    </w:rPr>
  </w:style>
  <w:style w:type="paragraph" w:styleId="MacroText">
    <w:name w:val="macro"/>
    <w:semiHidden/>
    <w:rsid w:val="006A1A29"/>
    <w:pPr>
      <w:tabs>
        <w:tab w:val="left" w:pos="567"/>
        <w:tab w:val="left" w:pos="1134"/>
        <w:tab w:val="left" w:pos="1701"/>
        <w:tab w:val="left" w:pos="2268"/>
        <w:tab w:val="left" w:pos="2835"/>
        <w:tab w:val="left" w:pos="3402"/>
        <w:tab w:val="left" w:pos="3969"/>
        <w:tab w:val="left" w:pos="4536"/>
        <w:tab w:val="left" w:pos="5103"/>
        <w:tab w:val="left" w:pos="5670"/>
      </w:tabs>
      <w:spacing w:after="60"/>
    </w:pPr>
    <w:rPr>
      <w:rFonts w:ascii="Arial" w:hAnsi="Arial"/>
      <w:kern w:val="16"/>
    </w:rPr>
  </w:style>
  <w:style w:type="paragraph" w:styleId="NormalIndent">
    <w:name w:val="Normal Indent"/>
    <w:basedOn w:val="Normal"/>
    <w:rsid w:val="006A1A29"/>
    <w:pPr>
      <w:ind w:left="720"/>
    </w:pPr>
  </w:style>
  <w:style w:type="paragraph" w:customStyle="1" w:styleId="SinglePara">
    <w:name w:val="Single Para"/>
    <w:basedOn w:val="Normal"/>
    <w:rsid w:val="006A1A29"/>
    <w:pPr>
      <w:spacing w:after="0"/>
    </w:pPr>
  </w:style>
  <w:style w:type="paragraph" w:customStyle="1" w:styleId="Footerbase">
    <w:name w:val="Footerbase"/>
    <w:link w:val="FooterbaseChar"/>
    <w:rsid w:val="006A1A29"/>
    <w:pPr>
      <w:tabs>
        <w:tab w:val="center" w:pos="4820"/>
      </w:tabs>
    </w:pPr>
    <w:rPr>
      <w:b/>
      <w:sz w:val="16"/>
    </w:rPr>
  </w:style>
  <w:style w:type="paragraph" w:customStyle="1" w:styleId="FooterAddress">
    <w:name w:val="FooterAddress"/>
    <w:basedOn w:val="Footerbase"/>
    <w:next w:val="Normal"/>
    <w:link w:val="FooterAddressChar"/>
    <w:rsid w:val="00041147"/>
    <w:rPr>
      <w:rFonts w:ascii="Arial" w:hAnsi="Arial"/>
      <w:b w:val="0"/>
      <w:color w:val="FFFFFF"/>
    </w:rPr>
  </w:style>
  <w:style w:type="paragraph" w:customStyle="1" w:styleId="FooterCopies">
    <w:name w:val="FooterCopies"/>
    <w:basedOn w:val="Footer"/>
    <w:rsid w:val="006A1A29"/>
    <w:pPr>
      <w:tabs>
        <w:tab w:val="clear" w:pos="4819"/>
        <w:tab w:val="clear" w:pos="9639"/>
      </w:tabs>
      <w:spacing w:after="120"/>
    </w:pPr>
    <w:rPr>
      <w:vanish/>
      <w:sz w:val="20"/>
    </w:rPr>
  </w:style>
  <w:style w:type="paragraph" w:customStyle="1" w:styleId="FooterFilename">
    <w:name w:val="FooterFilename"/>
    <w:basedOn w:val="Footerbase"/>
    <w:next w:val="FooterAddress"/>
    <w:rsid w:val="00021A7F"/>
    <w:pPr>
      <w:widowControl w:val="0"/>
      <w:spacing w:before="120" w:after="120"/>
    </w:pPr>
    <w:rPr>
      <w:b w:val="0"/>
      <w:vanish/>
      <w:sz w:val="12"/>
    </w:rPr>
  </w:style>
  <w:style w:type="paragraph" w:customStyle="1" w:styleId="Graphic">
    <w:name w:val="Graphic"/>
    <w:basedOn w:val="Normal"/>
    <w:next w:val="Normal"/>
    <w:rsid w:val="006A1A29"/>
    <w:pPr>
      <w:jc w:val="center"/>
    </w:pPr>
  </w:style>
  <w:style w:type="character" w:styleId="Hyperlink">
    <w:name w:val="Hyperlink"/>
    <w:basedOn w:val="DefaultParagraphFont"/>
    <w:rsid w:val="00041147"/>
    <w:rPr>
      <w:color w:val="0000FF"/>
      <w:u w:val="single"/>
    </w:rPr>
  </w:style>
  <w:style w:type="paragraph" w:styleId="BalloonText">
    <w:name w:val="Balloon Text"/>
    <w:basedOn w:val="Normal"/>
    <w:link w:val="BalloonTextChar"/>
    <w:rsid w:val="00857F46"/>
    <w:pPr>
      <w:spacing w:after="0"/>
    </w:pPr>
    <w:rPr>
      <w:rFonts w:ascii="Tahoma" w:hAnsi="Tahoma" w:cs="Tahoma"/>
      <w:sz w:val="16"/>
      <w:szCs w:val="16"/>
    </w:rPr>
  </w:style>
  <w:style w:type="character" w:customStyle="1" w:styleId="BalloonTextChar">
    <w:name w:val="Balloon Text Char"/>
    <w:basedOn w:val="DefaultParagraphFont"/>
    <w:link w:val="BalloonText"/>
    <w:rsid w:val="00857F46"/>
    <w:rPr>
      <w:rFonts w:ascii="Tahoma" w:hAnsi="Tahoma" w:cs="Tahoma"/>
      <w:sz w:val="16"/>
      <w:szCs w:val="16"/>
    </w:rPr>
  </w:style>
  <w:style w:type="character" w:customStyle="1" w:styleId="FooterbaseChar">
    <w:name w:val="Footerbase Char"/>
    <w:basedOn w:val="DefaultParagraphFont"/>
    <w:link w:val="Footerbase"/>
    <w:rsid w:val="000C3D77"/>
    <w:rPr>
      <w:b/>
      <w:sz w:val="16"/>
    </w:rPr>
  </w:style>
  <w:style w:type="character" w:customStyle="1" w:styleId="FooterAddressChar">
    <w:name w:val="FooterAddress Char"/>
    <w:basedOn w:val="FooterbaseChar"/>
    <w:link w:val="FooterAddress"/>
    <w:rsid w:val="000C3D77"/>
    <w:rPr>
      <w:rFonts w:ascii="Arial" w:hAnsi="Arial"/>
      <w:b/>
      <w:color w:val="FFFFFF"/>
      <w:sz w:val="16"/>
    </w:rPr>
  </w:style>
  <w:style w:type="paragraph" w:customStyle="1" w:styleId="SecurityClassificationHeader">
    <w:name w:val="Security Classification Header"/>
    <w:link w:val="SecurityClassificationHeaderChar"/>
    <w:rsid w:val="002B692A"/>
    <w:pPr>
      <w:spacing w:before="240" w:after="60"/>
      <w:jc w:val="center"/>
    </w:pPr>
    <w:rPr>
      <w:rFonts w:ascii="Calibri" w:hAnsi="Calibri"/>
      <w:b/>
      <w:caps/>
      <w:color w:val="000000" w:themeColor="text1"/>
      <w:sz w:val="24"/>
    </w:rPr>
  </w:style>
  <w:style w:type="character" w:customStyle="1" w:styleId="SecurityClassificationHeaderChar">
    <w:name w:val="Security Classification Header Char"/>
    <w:basedOn w:val="DefaultParagraphFont"/>
    <w:link w:val="SecurityClassificationHeader"/>
    <w:rsid w:val="002B692A"/>
    <w:rPr>
      <w:rFonts w:ascii="Calibri" w:hAnsi="Calibri"/>
      <w:b/>
      <w:caps/>
      <w:color w:val="000000" w:themeColor="text1"/>
      <w:sz w:val="24"/>
    </w:rPr>
  </w:style>
  <w:style w:type="paragraph" w:customStyle="1" w:styleId="SecurityClassificationFooter">
    <w:name w:val="Security Classification Footer"/>
    <w:link w:val="SecurityClassificationFooterChar"/>
    <w:rsid w:val="002B692A"/>
    <w:pPr>
      <w:spacing w:before="60" w:after="240"/>
      <w:jc w:val="center"/>
    </w:pPr>
    <w:rPr>
      <w:rFonts w:ascii="Calibri" w:hAnsi="Calibri"/>
      <w:b/>
      <w:caps/>
      <w:color w:val="000000" w:themeColor="text1"/>
      <w:sz w:val="24"/>
    </w:rPr>
  </w:style>
  <w:style w:type="character" w:customStyle="1" w:styleId="SecurityClassificationFooterChar">
    <w:name w:val="Security Classification Footer Char"/>
    <w:basedOn w:val="DefaultParagraphFont"/>
    <w:link w:val="SecurityClassificationFooter"/>
    <w:rsid w:val="002B692A"/>
    <w:rPr>
      <w:rFonts w:ascii="Calibri" w:hAnsi="Calibri"/>
      <w:b/>
      <w:caps/>
      <w:color w:val="000000" w:themeColor="text1"/>
      <w:sz w:val="24"/>
    </w:rPr>
  </w:style>
  <w:style w:type="paragraph" w:customStyle="1" w:styleId="DLMSecurityHeader">
    <w:name w:val="DLM Security Header"/>
    <w:link w:val="DLMSecurityHeaderChar"/>
    <w:rsid w:val="002B692A"/>
    <w:pPr>
      <w:spacing w:before="60" w:after="240"/>
      <w:jc w:val="center"/>
    </w:pPr>
    <w:rPr>
      <w:rFonts w:ascii="Calibri" w:hAnsi="Calibri"/>
      <w:b/>
      <w:caps/>
      <w:color w:val="000000" w:themeColor="text1"/>
      <w:sz w:val="24"/>
    </w:rPr>
  </w:style>
  <w:style w:type="character" w:customStyle="1" w:styleId="DLMSecurityHeaderChar">
    <w:name w:val="DLM Security Header Char"/>
    <w:basedOn w:val="DefaultParagraphFont"/>
    <w:link w:val="DLMSecurityHeader"/>
    <w:rsid w:val="002B692A"/>
    <w:rPr>
      <w:rFonts w:ascii="Calibri" w:hAnsi="Calibri"/>
      <w:b/>
      <w:caps/>
      <w:color w:val="000000" w:themeColor="text1"/>
      <w:sz w:val="24"/>
    </w:rPr>
  </w:style>
  <w:style w:type="paragraph" w:customStyle="1" w:styleId="DLMSecurityFooter">
    <w:name w:val="DLM Security Footer"/>
    <w:link w:val="DLMSecurityFooterChar"/>
    <w:rsid w:val="002B692A"/>
    <w:pPr>
      <w:spacing w:before="240" w:after="60"/>
      <w:jc w:val="center"/>
    </w:pPr>
    <w:rPr>
      <w:rFonts w:ascii="Calibri" w:hAnsi="Calibri"/>
      <w:b/>
      <w:caps/>
      <w:color w:val="000000" w:themeColor="text1"/>
      <w:sz w:val="24"/>
    </w:rPr>
  </w:style>
  <w:style w:type="character" w:customStyle="1" w:styleId="DLMSecurityFooterChar">
    <w:name w:val="DLM Security Footer Char"/>
    <w:basedOn w:val="DefaultParagraphFont"/>
    <w:link w:val="DLMSecurityFooter"/>
    <w:rsid w:val="002B692A"/>
    <w:rPr>
      <w:rFonts w:ascii="Calibri" w:hAnsi="Calibri"/>
      <w:b/>
      <w:caps/>
      <w:color w:val="000000" w:themeColor="text1"/>
      <w:sz w:val="24"/>
    </w:rPr>
  </w:style>
  <w:style w:type="paragraph" w:customStyle="1" w:styleId="Bullet">
    <w:name w:val="Bullet"/>
    <w:aliases w:val="Body,b,b + line,b1,level 1,Bullet + line"/>
    <w:basedOn w:val="Normal"/>
    <w:link w:val="BulletChar"/>
    <w:qFormat/>
    <w:rsid w:val="00F52F60"/>
    <w:pPr>
      <w:numPr>
        <w:numId w:val="1"/>
      </w:numPr>
      <w:spacing w:before="280" w:after="200"/>
    </w:pPr>
    <w:rPr>
      <w:rFonts w:ascii="Times New Roman" w:hAnsi="Times New Roman"/>
      <w:sz w:val="24"/>
    </w:rPr>
  </w:style>
  <w:style w:type="character" w:customStyle="1" w:styleId="BulletChar">
    <w:name w:val="Bullet Char"/>
    <w:basedOn w:val="DefaultParagraphFont"/>
    <w:link w:val="Bullet"/>
    <w:rsid w:val="00F52F60"/>
    <w:rPr>
      <w:sz w:val="24"/>
    </w:rPr>
  </w:style>
  <w:style w:type="paragraph" w:customStyle="1" w:styleId="Dash">
    <w:name w:val="Dash"/>
    <w:basedOn w:val="Normal"/>
    <w:qFormat/>
    <w:rsid w:val="00F52F60"/>
    <w:pPr>
      <w:numPr>
        <w:ilvl w:val="1"/>
        <w:numId w:val="1"/>
      </w:numPr>
      <w:spacing w:after="200"/>
    </w:pPr>
    <w:rPr>
      <w:rFonts w:ascii="Times New Roman" w:hAnsi="Times New Roman"/>
      <w:sz w:val="24"/>
    </w:rPr>
  </w:style>
  <w:style w:type="paragraph" w:customStyle="1" w:styleId="DoubleDot">
    <w:name w:val="Double Dot"/>
    <w:basedOn w:val="Normal"/>
    <w:qFormat/>
    <w:rsid w:val="00F52F60"/>
    <w:pPr>
      <w:numPr>
        <w:ilvl w:val="2"/>
        <w:numId w:val="1"/>
      </w:numPr>
      <w:spacing w:after="200"/>
    </w:pPr>
    <w:rPr>
      <w:rFonts w:ascii="Times New Roman" w:hAnsi="Times New Roman"/>
      <w:sz w:val="24"/>
    </w:rPr>
  </w:style>
  <w:style w:type="character" w:customStyle="1" w:styleId="Heading1Char">
    <w:name w:val="Heading 1 Char"/>
    <w:basedOn w:val="DefaultParagraphFont"/>
    <w:link w:val="Heading1"/>
    <w:rsid w:val="00F52F60"/>
    <w:rPr>
      <w:rFonts w:ascii="Calibri" w:hAnsi="Calibri"/>
      <w:b/>
      <w:caps/>
      <w:sz w:val="28"/>
      <w:szCs w:val="28"/>
    </w:rPr>
  </w:style>
  <w:style w:type="character" w:customStyle="1" w:styleId="Heading2Char">
    <w:name w:val="Heading 2 Char"/>
    <w:basedOn w:val="DefaultParagraphFont"/>
    <w:link w:val="Heading2"/>
    <w:uiPriority w:val="9"/>
    <w:rsid w:val="00F52F60"/>
    <w:rPr>
      <w:rFonts w:ascii="Calibri" w:hAnsi="Calibri"/>
      <w:b/>
      <w:caps/>
      <w:sz w:val="22"/>
    </w:rPr>
  </w:style>
  <w:style w:type="paragraph" w:styleId="FootnoteText">
    <w:name w:val="footnote text"/>
    <w:basedOn w:val="Normal"/>
    <w:link w:val="FootnoteTextChar"/>
    <w:rsid w:val="00156D02"/>
    <w:pPr>
      <w:spacing w:after="0"/>
    </w:pPr>
    <w:rPr>
      <w:sz w:val="20"/>
    </w:rPr>
  </w:style>
  <w:style w:type="character" w:customStyle="1" w:styleId="FootnoteTextChar">
    <w:name w:val="Footnote Text Char"/>
    <w:basedOn w:val="DefaultParagraphFont"/>
    <w:link w:val="FootnoteText"/>
    <w:rsid w:val="00156D02"/>
    <w:rPr>
      <w:rFonts w:ascii="Calibri" w:hAnsi="Calibri"/>
    </w:rPr>
  </w:style>
  <w:style w:type="character" w:styleId="FootnoteReference">
    <w:name w:val="footnote reference"/>
    <w:basedOn w:val="DefaultParagraphFont"/>
    <w:rsid w:val="00156D02"/>
    <w:rPr>
      <w:vertAlign w:val="superscript"/>
    </w:rPr>
  </w:style>
  <w:style w:type="character" w:styleId="CommentReference">
    <w:name w:val="annotation reference"/>
    <w:basedOn w:val="DefaultParagraphFont"/>
    <w:rsid w:val="00300186"/>
    <w:rPr>
      <w:sz w:val="16"/>
      <w:szCs w:val="16"/>
    </w:rPr>
  </w:style>
  <w:style w:type="paragraph" w:styleId="CommentText">
    <w:name w:val="annotation text"/>
    <w:basedOn w:val="Normal"/>
    <w:link w:val="CommentTextChar"/>
    <w:rsid w:val="00300186"/>
    <w:rPr>
      <w:sz w:val="20"/>
    </w:rPr>
  </w:style>
  <w:style w:type="character" w:customStyle="1" w:styleId="CommentTextChar">
    <w:name w:val="Comment Text Char"/>
    <w:basedOn w:val="DefaultParagraphFont"/>
    <w:link w:val="CommentText"/>
    <w:rsid w:val="00300186"/>
    <w:rPr>
      <w:rFonts w:ascii="Calibri" w:hAnsi="Calibri"/>
    </w:rPr>
  </w:style>
  <w:style w:type="paragraph" w:styleId="CommentSubject">
    <w:name w:val="annotation subject"/>
    <w:basedOn w:val="CommentText"/>
    <w:next w:val="CommentText"/>
    <w:link w:val="CommentSubjectChar"/>
    <w:rsid w:val="00300186"/>
    <w:rPr>
      <w:b/>
      <w:bCs/>
    </w:rPr>
  </w:style>
  <w:style w:type="character" w:customStyle="1" w:styleId="CommentSubjectChar">
    <w:name w:val="Comment Subject Char"/>
    <w:basedOn w:val="CommentTextChar"/>
    <w:link w:val="CommentSubject"/>
    <w:rsid w:val="00300186"/>
    <w:rPr>
      <w:rFonts w:ascii="Calibri" w:hAnsi="Calibri"/>
      <w:b/>
      <w:bCs/>
    </w:rPr>
  </w:style>
  <w:style w:type="character" w:styleId="FollowedHyperlink">
    <w:name w:val="FollowedHyperlink"/>
    <w:basedOn w:val="DefaultParagraphFont"/>
    <w:rsid w:val="006C2084"/>
    <w:rPr>
      <w:color w:val="800080" w:themeColor="followedHyperlink"/>
      <w:u w:val="single"/>
    </w:rPr>
  </w:style>
  <w:style w:type="character" w:customStyle="1" w:styleId="FooterChar">
    <w:name w:val="Footer Char"/>
    <w:basedOn w:val="DefaultParagraphFont"/>
    <w:link w:val="Footer"/>
    <w:uiPriority w:val="99"/>
    <w:rsid w:val="003E0165"/>
    <w:rPr>
      <w:rFonts w:ascii="Calibri" w:hAnsi="Calibr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112A0"/>
    <w:pPr>
      <w:spacing w:after="240"/>
    </w:pPr>
    <w:rPr>
      <w:rFonts w:ascii="Calibri" w:hAnsi="Calibri"/>
      <w:sz w:val="22"/>
    </w:rPr>
  </w:style>
  <w:style w:type="paragraph" w:styleId="Heading1">
    <w:name w:val="heading 1"/>
    <w:basedOn w:val="Normal"/>
    <w:next w:val="Normal"/>
    <w:link w:val="Heading1Char"/>
    <w:qFormat/>
    <w:rsid w:val="00E51C9D"/>
    <w:pPr>
      <w:keepNext/>
      <w:spacing w:before="240" w:after="360"/>
      <w:outlineLvl w:val="0"/>
    </w:pPr>
    <w:rPr>
      <w:b/>
      <w:caps/>
      <w:sz w:val="28"/>
      <w:szCs w:val="28"/>
    </w:rPr>
  </w:style>
  <w:style w:type="paragraph" w:styleId="Heading2">
    <w:name w:val="heading 2"/>
    <w:basedOn w:val="Normal"/>
    <w:next w:val="Normal"/>
    <w:link w:val="Heading2Char"/>
    <w:uiPriority w:val="9"/>
    <w:qFormat/>
    <w:rsid w:val="00E51C9D"/>
    <w:pPr>
      <w:keepNext/>
      <w:spacing w:before="120"/>
      <w:outlineLvl w:val="1"/>
    </w:pPr>
    <w:rPr>
      <w:b/>
      <w:caps/>
    </w:rPr>
  </w:style>
  <w:style w:type="paragraph" w:styleId="Heading3">
    <w:name w:val="heading 3"/>
    <w:basedOn w:val="Normal"/>
    <w:next w:val="Normal"/>
    <w:qFormat/>
    <w:rsid w:val="00E51C9D"/>
    <w:pPr>
      <w:keepNext/>
      <w:spacing w:before="60"/>
      <w:outlineLvl w:val="2"/>
    </w:pPr>
    <w:rPr>
      <w:b/>
    </w:rPr>
  </w:style>
  <w:style w:type="paragraph" w:styleId="Heading4">
    <w:name w:val="heading 4"/>
    <w:basedOn w:val="Normal"/>
    <w:next w:val="Normal"/>
    <w:qFormat/>
    <w:rsid w:val="00E51C9D"/>
    <w:pPr>
      <w:keepNext/>
      <w:outlineLvl w:val="3"/>
    </w:pPr>
    <w:rPr>
      <w:i/>
      <w:szCs w:val="24"/>
    </w:rPr>
  </w:style>
  <w:style w:type="paragraph" w:styleId="Heading5">
    <w:name w:val="heading 5"/>
    <w:basedOn w:val="Normal"/>
    <w:next w:val="Normal"/>
    <w:qFormat/>
    <w:rsid w:val="006A1A29"/>
    <w:pPr>
      <w:spacing w:before="240"/>
      <w:outlineLvl w:val="4"/>
    </w:pPr>
    <w:rPr>
      <w:b/>
    </w:rPr>
  </w:style>
  <w:style w:type="paragraph" w:styleId="Heading6">
    <w:name w:val="heading 6"/>
    <w:basedOn w:val="Normal"/>
    <w:next w:val="Normal"/>
    <w:qFormat/>
    <w:rsid w:val="006A1A29"/>
    <w:pPr>
      <w:spacing w:before="240"/>
      <w:outlineLvl w:val="5"/>
    </w:pPr>
    <w:rPr>
      <w:i/>
    </w:rPr>
  </w:style>
  <w:style w:type="paragraph" w:styleId="Heading7">
    <w:name w:val="heading 7"/>
    <w:basedOn w:val="Normal"/>
    <w:next w:val="Normal"/>
    <w:qFormat/>
    <w:rsid w:val="006A1A29"/>
    <w:pPr>
      <w:keepNext/>
      <w:tabs>
        <w:tab w:val="right" w:pos="2835"/>
        <w:tab w:val="center" w:pos="4820"/>
      </w:tabs>
      <w:spacing w:after="0"/>
      <w:outlineLvl w:val="6"/>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tMainHeading">
    <w:name w:val="Chart Main Heading"/>
    <w:basedOn w:val="Normal"/>
    <w:next w:val="Normal"/>
    <w:rsid w:val="006A1A29"/>
    <w:pPr>
      <w:spacing w:after="0"/>
      <w:jc w:val="center"/>
    </w:pPr>
    <w:rPr>
      <w:b/>
      <w:caps/>
    </w:rPr>
  </w:style>
  <w:style w:type="paragraph" w:customStyle="1" w:styleId="ChartSecondHeading">
    <w:name w:val="Chart Second Heading"/>
    <w:basedOn w:val="Normal"/>
    <w:next w:val="Normal"/>
    <w:rsid w:val="006A1A29"/>
    <w:pPr>
      <w:spacing w:after="0"/>
      <w:jc w:val="center"/>
    </w:pPr>
    <w:rPr>
      <w:b/>
    </w:rPr>
  </w:style>
  <w:style w:type="paragraph" w:styleId="EnvelopeAddress">
    <w:name w:val="envelope address"/>
    <w:basedOn w:val="Normal"/>
    <w:rsid w:val="006A1A29"/>
    <w:pPr>
      <w:framePr w:w="7920" w:h="1980" w:hRule="exact" w:hSpace="180" w:wrap="auto" w:hAnchor="page" w:xAlign="center" w:yAlign="bottom"/>
      <w:spacing w:after="0"/>
      <w:ind w:left="2880"/>
    </w:pPr>
  </w:style>
  <w:style w:type="paragraph" w:styleId="Footer">
    <w:name w:val="footer"/>
    <w:basedOn w:val="Normal"/>
    <w:link w:val="FooterChar"/>
    <w:uiPriority w:val="99"/>
    <w:rsid w:val="006A1A29"/>
    <w:pPr>
      <w:tabs>
        <w:tab w:val="center" w:pos="4819"/>
        <w:tab w:val="right" w:pos="9639"/>
      </w:tabs>
    </w:pPr>
  </w:style>
  <w:style w:type="paragraph" w:styleId="Header">
    <w:name w:val="header"/>
    <w:basedOn w:val="Normal"/>
    <w:rsid w:val="006A1A29"/>
    <w:pPr>
      <w:tabs>
        <w:tab w:val="center" w:pos="4819"/>
        <w:tab w:val="right" w:pos="9639"/>
      </w:tabs>
    </w:pPr>
    <w:rPr>
      <w:b/>
    </w:rPr>
  </w:style>
  <w:style w:type="paragraph" w:styleId="MacroText">
    <w:name w:val="macro"/>
    <w:semiHidden/>
    <w:rsid w:val="006A1A29"/>
    <w:pPr>
      <w:tabs>
        <w:tab w:val="left" w:pos="567"/>
        <w:tab w:val="left" w:pos="1134"/>
        <w:tab w:val="left" w:pos="1701"/>
        <w:tab w:val="left" w:pos="2268"/>
        <w:tab w:val="left" w:pos="2835"/>
        <w:tab w:val="left" w:pos="3402"/>
        <w:tab w:val="left" w:pos="3969"/>
        <w:tab w:val="left" w:pos="4536"/>
        <w:tab w:val="left" w:pos="5103"/>
        <w:tab w:val="left" w:pos="5670"/>
      </w:tabs>
      <w:spacing w:after="60"/>
    </w:pPr>
    <w:rPr>
      <w:rFonts w:ascii="Arial" w:hAnsi="Arial"/>
      <w:kern w:val="16"/>
    </w:rPr>
  </w:style>
  <w:style w:type="paragraph" w:styleId="NormalIndent">
    <w:name w:val="Normal Indent"/>
    <w:basedOn w:val="Normal"/>
    <w:rsid w:val="006A1A29"/>
    <w:pPr>
      <w:ind w:left="720"/>
    </w:pPr>
  </w:style>
  <w:style w:type="paragraph" w:customStyle="1" w:styleId="SinglePara">
    <w:name w:val="Single Para"/>
    <w:basedOn w:val="Normal"/>
    <w:rsid w:val="006A1A29"/>
    <w:pPr>
      <w:spacing w:after="0"/>
    </w:pPr>
  </w:style>
  <w:style w:type="paragraph" w:customStyle="1" w:styleId="Footerbase">
    <w:name w:val="Footerbase"/>
    <w:link w:val="FooterbaseChar"/>
    <w:rsid w:val="006A1A29"/>
    <w:pPr>
      <w:tabs>
        <w:tab w:val="center" w:pos="4820"/>
      </w:tabs>
    </w:pPr>
    <w:rPr>
      <w:b/>
      <w:sz w:val="16"/>
    </w:rPr>
  </w:style>
  <w:style w:type="paragraph" w:customStyle="1" w:styleId="FooterAddress">
    <w:name w:val="FooterAddress"/>
    <w:basedOn w:val="Footerbase"/>
    <w:next w:val="Normal"/>
    <w:link w:val="FooterAddressChar"/>
    <w:rsid w:val="00041147"/>
    <w:rPr>
      <w:rFonts w:ascii="Arial" w:hAnsi="Arial"/>
      <w:b w:val="0"/>
      <w:color w:val="FFFFFF"/>
    </w:rPr>
  </w:style>
  <w:style w:type="paragraph" w:customStyle="1" w:styleId="FooterCopies">
    <w:name w:val="FooterCopies"/>
    <w:basedOn w:val="Footer"/>
    <w:rsid w:val="006A1A29"/>
    <w:pPr>
      <w:tabs>
        <w:tab w:val="clear" w:pos="4819"/>
        <w:tab w:val="clear" w:pos="9639"/>
      </w:tabs>
      <w:spacing w:after="120"/>
    </w:pPr>
    <w:rPr>
      <w:vanish/>
      <w:sz w:val="20"/>
    </w:rPr>
  </w:style>
  <w:style w:type="paragraph" w:customStyle="1" w:styleId="FooterFilename">
    <w:name w:val="FooterFilename"/>
    <w:basedOn w:val="Footerbase"/>
    <w:next w:val="FooterAddress"/>
    <w:rsid w:val="00021A7F"/>
    <w:pPr>
      <w:widowControl w:val="0"/>
      <w:spacing w:before="120" w:after="120"/>
    </w:pPr>
    <w:rPr>
      <w:b w:val="0"/>
      <w:vanish/>
      <w:sz w:val="12"/>
    </w:rPr>
  </w:style>
  <w:style w:type="paragraph" w:customStyle="1" w:styleId="Graphic">
    <w:name w:val="Graphic"/>
    <w:basedOn w:val="Normal"/>
    <w:next w:val="Normal"/>
    <w:rsid w:val="006A1A29"/>
    <w:pPr>
      <w:jc w:val="center"/>
    </w:pPr>
  </w:style>
  <w:style w:type="character" w:styleId="Hyperlink">
    <w:name w:val="Hyperlink"/>
    <w:basedOn w:val="DefaultParagraphFont"/>
    <w:rsid w:val="00041147"/>
    <w:rPr>
      <w:color w:val="0000FF"/>
      <w:u w:val="single"/>
    </w:rPr>
  </w:style>
  <w:style w:type="paragraph" w:styleId="BalloonText">
    <w:name w:val="Balloon Text"/>
    <w:basedOn w:val="Normal"/>
    <w:link w:val="BalloonTextChar"/>
    <w:rsid w:val="00857F46"/>
    <w:pPr>
      <w:spacing w:after="0"/>
    </w:pPr>
    <w:rPr>
      <w:rFonts w:ascii="Tahoma" w:hAnsi="Tahoma" w:cs="Tahoma"/>
      <w:sz w:val="16"/>
      <w:szCs w:val="16"/>
    </w:rPr>
  </w:style>
  <w:style w:type="character" w:customStyle="1" w:styleId="BalloonTextChar">
    <w:name w:val="Balloon Text Char"/>
    <w:basedOn w:val="DefaultParagraphFont"/>
    <w:link w:val="BalloonText"/>
    <w:rsid w:val="00857F46"/>
    <w:rPr>
      <w:rFonts w:ascii="Tahoma" w:hAnsi="Tahoma" w:cs="Tahoma"/>
      <w:sz w:val="16"/>
      <w:szCs w:val="16"/>
    </w:rPr>
  </w:style>
  <w:style w:type="character" w:customStyle="1" w:styleId="FooterbaseChar">
    <w:name w:val="Footerbase Char"/>
    <w:basedOn w:val="DefaultParagraphFont"/>
    <w:link w:val="Footerbase"/>
    <w:rsid w:val="000C3D77"/>
    <w:rPr>
      <w:b/>
      <w:sz w:val="16"/>
    </w:rPr>
  </w:style>
  <w:style w:type="character" w:customStyle="1" w:styleId="FooterAddressChar">
    <w:name w:val="FooterAddress Char"/>
    <w:basedOn w:val="FooterbaseChar"/>
    <w:link w:val="FooterAddress"/>
    <w:rsid w:val="000C3D77"/>
    <w:rPr>
      <w:rFonts w:ascii="Arial" w:hAnsi="Arial"/>
      <w:b/>
      <w:color w:val="FFFFFF"/>
      <w:sz w:val="16"/>
    </w:rPr>
  </w:style>
  <w:style w:type="paragraph" w:customStyle="1" w:styleId="SecurityClassificationHeader">
    <w:name w:val="Security Classification Header"/>
    <w:link w:val="SecurityClassificationHeaderChar"/>
    <w:rsid w:val="002B692A"/>
    <w:pPr>
      <w:spacing w:before="240" w:after="60"/>
      <w:jc w:val="center"/>
    </w:pPr>
    <w:rPr>
      <w:rFonts w:ascii="Calibri" w:hAnsi="Calibri"/>
      <w:b/>
      <w:caps/>
      <w:color w:val="000000" w:themeColor="text1"/>
      <w:sz w:val="24"/>
    </w:rPr>
  </w:style>
  <w:style w:type="character" w:customStyle="1" w:styleId="SecurityClassificationHeaderChar">
    <w:name w:val="Security Classification Header Char"/>
    <w:basedOn w:val="DefaultParagraphFont"/>
    <w:link w:val="SecurityClassificationHeader"/>
    <w:rsid w:val="002B692A"/>
    <w:rPr>
      <w:rFonts w:ascii="Calibri" w:hAnsi="Calibri"/>
      <w:b/>
      <w:caps/>
      <w:color w:val="000000" w:themeColor="text1"/>
      <w:sz w:val="24"/>
    </w:rPr>
  </w:style>
  <w:style w:type="paragraph" w:customStyle="1" w:styleId="SecurityClassificationFooter">
    <w:name w:val="Security Classification Footer"/>
    <w:link w:val="SecurityClassificationFooterChar"/>
    <w:rsid w:val="002B692A"/>
    <w:pPr>
      <w:spacing w:before="60" w:after="240"/>
      <w:jc w:val="center"/>
    </w:pPr>
    <w:rPr>
      <w:rFonts w:ascii="Calibri" w:hAnsi="Calibri"/>
      <w:b/>
      <w:caps/>
      <w:color w:val="000000" w:themeColor="text1"/>
      <w:sz w:val="24"/>
    </w:rPr>
  </w:style>
  <w:style w:type="character" w:customStyle="1" w:styleId="SecurityClassificationFooterChar">
    <w:name w:val="Security Classification Footer Char"/>
    <w:basedOn w:val="DefaultParagraphFont"/>
    <w:link w:val="SecurityClassificationFooter"/>
    <w:rsid w:val="002B692A"/>
    <w:rPr>
      <w:rFonts w:ascii="Calibri" w:hAnsi="Calibri"/>
      <w:b/>
      <w:caps/>
      <w:color w:val="000000" w:themeColor="text1"/>
      <w:sz w:val="24"/>
    </w:rPr>
  </w:style>
  <w:style w:type="paragraph" w:customStyle="1" w:styleId="DLMSecurityHeader">
    <w:name w:val="DLM Security Header"/>
    <w:link w:val="DLMSecurityHeaderChar"/>
    <w:rsid w:val="002B692A"/>
    <w:pPr>
      <w:spacing w:before="60" w:after="240"/>
      <w:jc w:val="center"/>
    </w:pPr>
    <w:rPr>
      <w:rFonts w:ascii="Calibri" w:hAnsi="Calibri"/>
      <w:b/>
      <w:caps/>
      <w:color w:val="000000" w:themeColor="text1"/>
      <w:sz w:val="24"/>
    </w:rPr>
  </w:style>
  <w:style w:type="character" w:customStyle="1" w:styleId="DLMSecurityHeaderChar">
    <w:name w:val="DLM Security Header Char"/>
    <w:basedOn w:val="DefaultParagraphFont"/>
    <w:link w:val="DLMSecurityHeader"/>
    <w:rsid w:val="002B692A"/>
    <w:rPr>
      <w:rFonts w:ascii="Calibri" w:hAnsi="Calibri"/>
      <w:b/>
      <w:caps/>
      <w:color w:val="000000" w:themeColor="text1"/>
      <w:sz w:val="24"/>
    </w:rPr>
  </w:style>
  <w:style w:type="paragraph" w:customStyle="1" w:styleId="DLMSecurityFooter">
    <w:name w:val="DLM Security Footer"/>
    <w:link w:val="DLMSecurityFooterChar"/>
    <w:rsid w:val="002B692A"/>
    <w:pPr>
      <w:spacing w:before="240" w:after="60"/>
      <w:jc w:val="center"/>
    </w:pPr>
    <w:rPr>
      <w:rFonts w:ascii="Calibri" w:hAnsi="Calibri"/>
      <w:b/>
      <w:caps/>
      <w:color w:val="000000" w:themeColor="text1"/>
      <w:sz w:val="24"/>
    </w:rPr>
  </w:style>
  <w:style w:type="character" w:customStyle="1" w:styleId="DLMSecurityFooterChar">
    <w:name w:val="DLM Security Footer Char"/>
    <w:basedOn w:val="DefaultParagraphFont"/>
    <w:link w:val="DLMSecurityFooter"/>
    <w:rsid w:val="002B692A"/>
    <w:rPr>
      <w:rFonts w:ascii="Calibri" w:hAnsi="Calibri"/>
      <w:b/>
      <w:caps/>
      <w:color w:val="000000" w:themeColor="text1"/>
      <w:sz w:val="24"/>
    </w:rPr>
  </w:style>
  <w:style w:type="paragraph" w:customStyle="1" w:styleId="Bullet">
    <w:name w:val="Bullet"/>
    <w:aliases w:val="Body,b,b + line,b1,level 1,Bullet + line"/>
    <w:basedOn w:val="Normal"/>
    <w:link w:val="BulletChar"/>
    <w:qFormat/>
    <w:rsid w:val="00F52F60"/>
    <w:pPr>
      <w:numPr>
        <w:numId w:val="1"/>
      </w:numPr>
      <w:spacing w:before="280" w:after="200"/>
    </w:pPr>
    <w:rPr>
      <w:rFonts w:ascii="Times New Roman" w:hAnsi="Times New Roman"/>
      <w:sz w:val="24"/>
    </w:rPr>
  </w:style>
  <w:style w:type="character" w:customStyle="1" w:styleId="BulletChar">
    <w:name w:val="Bullet Char"/>
    <w:basedOn w:val="DefaultParagraphFont"/>
    <w:link w:val="Bullet"/>
    <w:rsid w:val="00F52F60"/>
    <w:rPr>
      <w:sz w:val="24"/>
    </w:rPr>
  </w:style>
  <w:style w:type="paragraph" w:customStyle="1" w:styleId="Dash">
    <w:name w:val="Dash"/>
    <w:basedOn w:val="Normal"/>
    <w:qFormat/>
    <w:rsid w:val="00F52F60"/>
    <w:pPr>
      <w:numPr>
        <w:ilvl w:val="1"/>
        <w:numId w:val="1"/>
      </w:numPr>
      <w:spacing w:after="200"/>
    </w:pPr>
    <w:rPr>
      <w:rFonts w:ascii="Times New Roman" w:hAnsi="Times New Roman"/>
      <w:sz w:val="24"/>
    </w:rPr>
  </w:style>
  <w:style w:type="paragraph" w:customStyle="1" w:styleId="DoubleDot">
    <w:name w:val="Double Dot"/>
    <w:basedOn w:val="Normal"/>
    <w:qFormat/>
    <w:rsid w:val="00F52F60"/>
    <w:pPr>
      <w:numPr>
        <w:ilvl w:val="2"/>
        <w:numId w:val="1"/>
      </w:numPr>
      <w:spacing w:after="200"/>
    </w:pPr>
    <w:rPr>
      <w:rFonts w:ascii="Times New Roman" w:hAnsi="Times New Roman"/>
      <w:sz w:val="24"/>
    </w:rPr>
  </w:style>
  <w:style w:type="character" w:customStyle="1" w:styleId="Heading1Char">
    <w:name w:val="Heading 1 Char"/>
    <w:basedOn w:val="DefaultParagraphFont"/>
    <w:link w:val="Heading1"/>
    <w:rsid w:val="00F52F60"/>
    <w:rPr>
      <w:rFonts w:ascii="Calibri" w:hAnsi="Calibri"/>
      <w:b/>
      <w:caps/>
      <w:sz w:val="28"/>
      <w:szCs w:val="28"/>
    </w:rPr>
  </w:style>
  <w:style w:type="character" w:customStyle="1" w:styleId="Heading2Char">
    <w:name w:val="Heading 2 Char"/>
    <w:basedOn w:val="DefaultParagraphFont"/>
    <w:link w:val="Heading2"/>
    <w:uiPriority w:val="9"/>
    <w:rsid w:val="00F52F60"/>
    <w:rPr>
      <w:rFonts w:ascii="Calibri" w:hAnsi="Calibri"/>
      <w:b/>
      <w:caps/>
      <w:sz w:val="22"/>
    </w:rPr>
  </w:style>
  <w:style w:type="paragraph" w:styleId="FootnoteText">
    <w:name w:val="footnote text"/>
    <w:basedOn w:val="Normal"/>
    <w:link w:val="FootnoteTextChar"/>
    <w:rsid w:val="00156D02"/>
    <w:pPr>
      <w:spacing w:after="0"/>
    </w:pPr>
    <w:rPr>
      <w:sz w:val="20"/>
    </w:rPr>
  </w:style>
  <w:style w:type="character" w:customStyle="1" w:styleId="FootnoteTextChar">
    <w:name w:val="Footnote Text Char"/>
    <w:basedOn w:val="DefaultParagraphFont"/>
    <w:link w:val="FootnoteText"/>
    <w:rsid w:val="00156D02"/>
    <w:rPr>
      <w:rFonts w:ascii="Calibri" w:hAnsi="Calibri"/>
    </w:rPr>
  </w:style>
  <w:style w:type="character" w:styleId="FootnoteReference">
    <w:name w:val="footnote reference"/>
    <w:basedOn w:val="DefaultParagraphFont"/>
    <w:rsid w:val="00156D02"/>
    <w:rPr>
      <w:vertAlign w:val="superscript"/>
    </w:rPr>
  </w:style>
  <w:style w:type="character" w:styleId="CommentReference">
    <w:name w:val="annotation reference"/>
    <w:basedOn w:val="DefaultParagraphFont"/>
    <w:rsid w:val="00300186"/>
    <w:rPr>
      <w:sz w:val="16"/>
      <w:szCs w:val="16"/>
    </w:rPr>
  </w:style>
  <w:style w:type="paragraph" w:styleId="CommentText">
    <w:name w:val="annotation text"/>
    <w:basedOn w:val="Normal"/>
    <w:link w:val="CommentTextChar"/>
    <w:rsid w:val="00300186"/>
    <w:rPr>
      <w:sz w:val="20"/>
    </w:rPr>
  </w:style>
  <w:style w:type="character" w:customStyle="1" w:styleId="CommentTextChar">
    <w:name w:val="Comment Text Char"/>
    <w:basedOn w:val="DefaultParagraphFont"/>
    <w:link w:val="CommentText"/>
    <w:rsid w:val="00300186"/>
    <w:rPr>
      <w:rFonts w:ascii="Calibri" w:hAnsi="Calibri"/>
    </w:rPr>
  </w:style>
  <w:style w:type="paragraph" w:styleId="CommentSubject">
    <w:name w:val="annotation subject"/>
    <w:basedOn w:val="CommentText"/>
    <w:next w:val="CommentText"/>
    <w:link w:val="CommentSubjectChar"/>
    <w:rsid w:val="00300186"/>
    <w:rPr>
      <w:b/>
      <w:bCs/>
    </w:rPr>
  </w:style>
  <w:style w:type="character" w:customStyle="1" w:styleId="CommentSubjectChar">
    <w:name w:val="Comment Subject Char"/>
    <w:basedOn w:val="CommentTextChar"/>
    <w:link w:val="CommentSubject"/>
    <w:rsid w:val="00300186"/>
    <w:rPr>
      <w:rFonts w:ascii="Calibri" w:hAnsi="Calibri"/>
      <w:b/>
      <w:bCs/>
    </w:rPr>
  </w:style>
  <w:style w:type="character" w:styleId="FollowedHyperlink">
    <w:name w:val="FollowedHyperlink"/>
    <w:basedOn w:val="DefaultParagraphFont"/>
    <w:rsid w:val="006C2084"/>
    <w:rPr>
      <w:color w:val="800080" w:themeColor="followedHyperlink"/>
      <w:u w:val="single"/>
    </w:rPr>
  </w:style>
  <w:style w:type="character" w:customStyle="1" w:styleId="FooterChar">
    <w:name w:val="Footer Char"/>
    <w:basedOn w:val="DefaultParagraphFont"/>
    <w:link w:val="Footer"/>
    <w:uiPriority w:val="99"/>
    <w:rsid w:val="003E0165"/>
    <w:rPr>
      <w:rFonts w:ascii="Calibri" w:hAnsi="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1" Type="http://schemas.openxmlformats.org/officeDocument/2006/relationships/webSettings" Target="webSettings.xml"/><Relationship Id="rId6" Type="http://schemas.openxmlformats.org/officeDocument/2006/relationships/customXml" Target="../customXml/item6.xml"/><Relationship Id="rId15" Type="http://schemas.openxmlformats.org/officeDocument/2006/relationships/hyperlink" Target="mailto:tom.reid@treasury.gov.au" TargetMode="Externa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mailto:paul.mccullough@treasury.gov.au"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_rels/footnotes.xml.rels><?xml version="1.0" encoding="UTF-8" standalone="yes"?>
<Relationships xmlns="http://schemas.openxmlformats.org/package/2006/relationships"><Relationship Id="rId1" Type="http://schemas.openxmlformats.org/officeDocument/2006/relationships/hyperlink" Target="https://treasury.govt.nz/information-and-services/regulation/regulatory-stewardsh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Correspondence\Lette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s>
</file>

<file path=customXml/item2.xml><?xml version="1.0" encoding="utf-8"?>
<ct:contentTypeSchema xmlns:ct="http://schemas.microsoft.com/office/2006/metadata/contentType" xmlns:ma="http://schemas.microsoft.com/office/2006/metadata/properties/metaAttributes" ct:_="" ma:_="" ma:contentTypeName="ShareHub Document" ma:contentTypeID="0x0101002825A64A6E1845A99A9D8EE8A5686ECB009B58D7D72C3ED54C851955501673F8AC" ma:contentTypeVersion="12" ma:contentTypeDescription="ShareHub Document" ma:contentTypeScope="" ma:versionID="97f9b7b7c78848d4214b9782eb89bc56">
  <xsd:schema xmlns:xsd="http://www.w3.org/2001/XMLSchema" xmlns:xs="http://www.w3.org/2001/XMLSchema" xmlns:p="http://schemas.microsoft.com/office/2006/metadata/properties" xmlns:ns1="166541c0-0594-4e6a-9105-c24d4b6de6f7" xmlns:ns3="685f9fda-bd71-4433-b331-92feb9553089" targetNamespace="http://schemas.microsoft.com/office/2006/metadata/properties" ma:root="true" ma:fieldsID="76f1aafd45aee4e06fde14cce240cffd" ns1:_="" ns3:_="">
    <xsd:import namespace="166541c0-0594-4e6a-9105-c24d4b6de6f7"/>
    <xsd:import namespace="685f9fda-bd71-4433-b331-92feb9553089"/>
    <xsd:element name="properties">
      <xsd:complexType>
        <xsd:sequence>
          <xsd:element name="documentManagement">
            <xsd:complexType>
              <xsd:all>
                <xsd:element ref="ns1:ShareHubID" minOccurs="0"/>
                <xsd:element ref="ns3:NonRecordJustification" minOccurs="0"/>
                <xsd:element ref="ns1:PMCNotes" minOccurs="0"/>
                <xsd:element ref="ns1:mc5611b894cf49d8aeeb8ebf39dc09bc" minOccurs="0"/>
                <xsd:element ref="ns1:TaxCatchAll" minOccurs="0"/>
                <xsd:element ref="ns1:TaxCatchAllLabel" minOccurs="0"/>
                <xsd:element ref="ns1:jd1c641577414dfdab1686c9d5d0dbd0" minOccurs="0"/>
                <xsd:element ref="ns1:SharedWithUsers" minOccurs="0"/>
                <xsd:element ref="ns1:hc4a8f51d7584793bcee84017ea96cb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6541c0-0594-4e6a-9105-c24d4b6de6f7" elementFormDefault="qualified">
    <xsd:import namespace="http://schemas.microsoft.com/office/2006/documentManagement/types"/>
    <xsd:import namespace="http://schemas.microsoft.com/office/infopath/2007/PartnerControls"/>
    <xsd:element name="ShareHubID" ma:index="0" nillable="true" ma:displayName="Record ID" ma:indexed="true" ma:internalName="ShareHubID">
      <xsd:simpleType>
        <xsd:restriction base="dms:Text">
          <xsd:maxLength value="255"/>
        </xsd:restriction>
      </xsd:simpleType>
    </xsd:element>
    <xsd:element name="PMCNotes" ma:index="6" nillable="true" ma:displayName="Notes" ma:internalName="PMCNotes">
      <xsd:simpleType>
        <xsd:restriction base="dms:Note">
          <xsd:maxLength value="255"/>
        </xsd:restriction>
      </xsd:simpleType>
    </xsd:element>
    <xsd:element name="mc5611b894cf49d8aeeb8ebf39dc09bc" ma:index="8" ma:taxonomy="true" ma:internalName="mc5611b894cf49d8aeeb8ebf39dc09bc" ma:taxonomyFieldName="HPRMSecurityLevel" ma:displayName="Security Classification" ma:default="57;#OFFICIAL|11463c70-78df-4e3b-b0ff-f66cd3cb26ec" ma:fieldId="{6c5611b8-94cf-49d8-aeeb-8ebf39dc09bc}" ma:sspId="fdd71c70-8dda-4116-8995-314ca52d638a" ma:termSetId="ad616a2a-2f34-42df-868f-846f11d5d89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aea88e85-05a7-4360-91dc-760ce9bb3d8d}" ma:internalName="TaxCatchAll" ma:showField="CatchAllData"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aea88e85-05a7-4360-91dc-760ce9bb3d8d}" ma:internalName="TaxCatchAllLabel" ma:readOnly="true" ma:showField="CatchAllDataLabel"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jd1c641577414dfdab1686c9d5d0dbd0" ma:index="12" nillable="true" ma:taxonomy="true" ma:internalName="jd1c641577414dfdab1686c9d5d0dbd0" ma:taxonomyFieldName="HPRMSecurityCaveat" ma:displayName="Information Marker" ma:fieldId="{3d1c6415-7741-4dfd-ab16-86c9d5d0dbd0}" ma:taxonomyMulti="true" ma:sspId="fdd71c70-8dda-4116-8995-314ca52d638a" ma:termSetId="4779c3b8-a320-4a06-b8c8-666ff4292a5a" ma:anchorId="00000000-0000-0000-0000-000000000000" ma:open="false" ma:isKeyword="false">
      <xsd:complexType>
        <xsd:sequence>
          <xsd:element ref="pc:Terms" minOccurs="0" maxOccurs="1"/>
        </xsd:sequence>
      </xsd:complexType>
    </xsd:element>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c4a8f51d7584793bcee84017ea96cb3" ma:index="18" nillable="true" ma:taxonomy="true" ma:internalName="hc4a8f51d7584793bcee84017ea96cb3" ma:taxonomyFieldName="ESearchTags" ma:displayName="Tags" ma:fieldId="{1c4a8f51-d758-4793-bcee-84017ea96cb3}" ma:taxonomyMulti="true" ma:sspId="fdd71c70-8dda-4116-8995-314ca52d638a" ma:termSetId="8f252924-ebd5-4b35-b39d-81596a6204b5"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5f9fda-bd71-4433-b331-92feb9553089" elementFormDefault="qualified">
    <xsd:import namespace="http://schemas.microsoft.com/office/2006/documentManagement/types"/>
    <xsd:import namespace="http://schemas.microsoft.com/office/infopath/2007/PartnerControls"/>
    <xsd:element name="NonRecordJustification" ma:index="5" nillable="true" ma:displayName="Non-record justification" ma:default="None" ma:format="Dropdown" ma:internalName="NonRecordJustification" ma:readOnly="false">
      <xsd:simpleType>
        <xsd:restriction base="dms:Choice">
          <xsd:enumeration value="None"/>
          <xsd:enumeration value="Not defined as a record under the Archives Act of 1983"/>
          <xsd:enumeration value="Duplicate or low value item"/>
          <xsd:enumeration value="Superced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166541c0-0594-4e6a-9105-c24d4b6de6f7">
      <Value>6</Value>
    </TaxCatchAll>
    <mc5611b894cf49d8aeeb8ebf39dc09bc xmlns="166541c0-0594-4e6a-9105-c24d4b6de6f7">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11463c70-78df-4e3b-b0ff-f66cd3cb26ec</TermId>
        </TermInfo>
      </Terms>
    </mc5611b894cf49d8aeeb8ebf39dc09bc>
    <jd1c641577414dfdab1686c9d5d0dbd0 xmlns="166541c0-0594-4e6a-9105-c24d4b6de6f7">
      <Terms xmlns="http://schemas.microsoft.com/office/infopath/2007/PartnerControls"/>
    </jd1c641577414dfdab1686c9d5d0dbd0>
    <hc4a8f51d7584793bcee84017ea96cb3 xmlns="166541c0-0594-4e6a-9105-c24d4b6de6f7">
      <Terms xmlns="http://schemas.microsoft.com/office/infopath/2007/PartnerControls"/>
    </hc4a8f51d7584793bcee84017ea96cb3>
    <ShareHubID xmlns="166541c0-0594-4e6a-9105-c24d4b6de6f7">DOC19-444696</ShareHubID>
    <PMCNotes xmlns="166541c0-0594-4e6a-9105-c24d4b6de6f7" xsi:nil="true"/>
    <NonRecordJustification xmlns="685f9fda-bd71-4433-b331-92feb9553089">None</NonRecordJustification>
  </documentManagement>
</p:properties>
</file>

<file path=customXml/item5.xml><?xml version="1.0" encoding="utf-8"?>
<ct:contentTypeSchema xmlns:ct="http://schemas.microsoft.com/office/2006/metadata/contentType" xmlns:ma="http://schemas.microsoft.com/office/2006/metadata/properties/metaAttributes" ct:_="" ma:_="" ma:contentTypeName="Treasury Document" ma:contentTypeID="0x01010036BB8DE7EC542E42A8B2E98CC20CB69700DAE6444D5902BB41BF4262D3B602023E" ma:contentTypeVersion="12898" ma:contentTypeDescription=" " ma:contentTypeScope="" ma:versionID="c93c248c15a29736b1c8280461fb1da3">
  <xsd:schema xmlns:xsd="http://www.w3.org/2001/XMLSchema" xmlns:xs="http://www.w3.org/2001/XMLSchema" xmlns:p="http://schemas.microsoft.com/office/2006/metadata/properties" xmlns:ns1="http://schemas.microsoft.com/sharepoint/v3" xmlns:ns2="9f7bc583-7cbe-45b9-a2bd-8bbb6543b37e" xmlns:ns4="http://schemas.microsoft.com/sharepoint/v4" targetNamespace="http://schemas.microsoft.com/office/2006/metadata/properties" ma:root="true" ma:fieldsID="064d9808adc9e4ef4dc8d1069fed793a" ns1:_="" ns2:_="" ns4:_="">
    <xsd:import namespace="http://schemas.microsoft.com/sharepoint/v3"/>
    <xsd:import namespace="9f7bc583-7cbe-45b9-a2bd-8bbb6543b37e"/>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lb508a4dc5e84436a0fe496b536466aa" minOccurs="0"/>
                <xsd:element ref="ns2:TaxCatchAll" minOccurs="0"/>
                <xsd:element ref="ns2:TaxCatchAllLabel"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f7bc583-7cbe-45b9-a2bd-8bbb6543b37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b508a4dc5e84436a0fe496b536466aa" ma:index="12" nillable="true" ma:taxonomy="true" ma:internalName="lb508a4dc5e84436a0fe496b536466aa" ma:taxonomyFieldName="TSYRecordClass" ma:displayName="Record Class" ma:readOnly="false" ma:default="6;#TSY RA-9241 - Retain as national archives|f92f0150-6021-43b5-a30c-415e02490674"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a5426e91-c895-42ba-91bf-fe5e23c4f0ec}" ma:internalName="TaxCatchAll" ma:showField="CatchAllData" ma:web="9f7bc583-7cbe-45b9-a2bd-8bbb6543b37e">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a5426e91-c895-42ba-91bf-fe5e23c4f0ec}" ma:internalName="TaxCatchAllLabel" ma:readOnly="true" ma:showField="CatchAllDataLabel" ma:web="9f7bc583-7cbe-45b9-a2bd-8bbb6543b37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0B2FD3-FCFC-4B4F-A173-237424DADC3B}">
  <ds:schemaRefs>
    <ds:schemaRef ds:uri="http://schemas.microsoft.com/sharepoint/events"/>
  </ds:schemaRefs>
</ds:datastoreItem>
</file>

<file path=customXml/itemProps2.xml><?xml version="1.0" encoding="utf-8"?>
<ds:datastoreItem xmlns:ds="http://schemas.openxmlformats.org/officeDocument/2006/customXml" ds:itemID="{DFC2C3EB-ADDA-4C02-8C59-36CE2D008745}"/>
</file>

<file path=customXml/itemProps3.xml><?xml version="1.0" encoding="utf-8"?>
<ds:datastoreItem xmlns:ds="http://schemas.openxmlformats.org/officeDocument/2006/customXml" ds:itemID="{44451050-E879-4192-9C1D-72188EF25168}">
  <ds:schemaRefs>
    <ds:schemaRef ds:uri="http://schemas.microsoft.com/sharepoint/v3/contenttype/forms"/>
  </ds:schemaRefs>
</ds:datastoreItem>
</file>

<file path=customXml/itemProps4.xml><?xml version="1.0" encoding="utf-8"?>
<ds:datastoreItem xmlns:ds="http://schemas.openxmlformats.org/officeDocument/2006/customXml" ds:itemID="{1A9EDA3D-2332-48D2-86B9-D0CE22053886}">
  <ds:schemaRefs>
    <ds:schemaRef ds:uri="http://purl.org/dc/terms/"/>
    <ds:schemaRef ds:uri="9f7bc583-7cbe-45b9-a2bd-8bbb6543b37e"/>
    <ds:schemaRef ds:uri="http://www.w3.org/XML/1998/namespace"/>
    <ds:schemaRef ds:uri="http://schemas.microsoft.com/office/2006/metadata/properties"/>
    <ds:schemaRef ds:uri="http://schemas.microsoft.com/office/2006/documentManagement/types"/>
    <ds:schemaRef ds:uri="http://schemas.microsoft.com/sharepoint/v4"/>
    <ds:schemaRef ds:uri="http://schemas.microsoft.com/office/infopath/2007/PartnerControls"/>
    <ds:schemaRef ds:uri="http://purl.org/dc/elements/1.1/"/>
    <ds:schemaRef ds:uri="http://schemas.openxmlformats.org/package/2006/metadata/core-properties"/>
    <ds:schemaRef ds:uri="http://schemas.microsoft.com/sharepoint/v3"/>
    <ds:schemaRef ds:uri="http://purl.org/dc/dcmitype/"/>
  </ds:schemaRefs>
</ds:datastoreItem>
</file>

<file path=customXml/itemProps5.xml><?xml version="1.0" encoding="utf-8"?>
<ds:datastoreItem xmlns:ds="http://schemas.openxmlformats.org/officeDocument/2006/customXml" ds:itemID="{395A53AF-0A64-4FE7-BF22-AD8B88E7E6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f7bc583-7cbe-45b9-a2bd-8bbb6543b37e"/>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BCADC063-CB4F-458C-8BA2-6F48C4BAA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Letter.dotm</Template>
  <TotalTime>199</TotalTime>
  <Pages>6</Pages>
  <Words>2773</Words>
  <Characters>15668</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Review of the Australian Public Service</vt:lpstr>
    </vt:vector>
  </TitlesOfParts>
  <Company>The Treasury</Company>
  <LinksUpToDate>false</LinksUpToDate>
  <CharactersWithSpaces>18405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the Australian Public Service</dc:title>
  <dc:creator>Paul McCullough</dc:creator>
  <cp:lastModifiedBy>McCullough, Paul</cp:lastModifiedBy>
  <cp:revision>9</cp:revision>
  <cp:lastPrinted>2018-07-31T03:53:00Z</cp:lastPrinted>
  <dcterms:created xsi:type="dcterms:W3CDTF">2018-07-30T23:36:00Z</dcterms:created>
  <dcterms:modified xsi:type="dcterms:W3CDTF">2018-07-31T03:53:00Z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urityClassification">
    <vt:lpwstr/>
  </property>
  <property fmtid="{D5CDD505-2E9C-101B-9397-08002B2CF9AE}" pid="3" name="Language">
    <vt:lpwstr>English</vt:lpwstr>
  </property>
  <property fmtid="{D5CDD505-2E9C-101B-9397-08002B2CF9AE}" pid="4" name="DLMSecurityClassification">
    <vt:lpwstr/>
  </property>
  <property fmtid="{D5CDD505-2E9C-101B-9397-08002B2CF9AE}" pid="5" name="WorkingDocStatus">
    <vt:lpwstr/>
  </property>
  <property fmtid="{D5CDD505-2E9C-101B-9397-08002B2CF9AE}" pid="6" name="ContentTypeId">
    <vt:lpwstr>0x0101002825A64A6E1845A99A9D8EE8A5686ECB009B58D7D72C3ED54C851955501673F8AC</vt:lpwstr>
  </property>
  <property fmtid="{D5CDD505-2E9C-101B-9397-08002B2CF9AE}" pid="7" name="TSYRecordClass">
    <vt:lpwstr>6;#TSY RA-9241 - Retain as national archives|f92f0150-6021-43b5-a30c-415e02490674</vt:lpwstr>
  </property>
  <property fmtid="{D5CDD505-2E9C-101B-9397-08002B2CF9AE}" pid="8" name="_dlc_DocIdItemGuid">
    <vt:lpwstr>0cdb679d-f6b1-40a1-82b3-400a38451957</vt:lpwstr>
  </property>
  <property fmtid="{D5CDD505-2E9C-101B-9397-08002B2CF9AE}" pid="9" name="RecordPoint_WorkflowType">
    <vt:lpwstr>ActiveSubmitStub</vt:lpwstr>
  </property>
  <property fmtid="{D5CDD505-2E9C-101B-9397-08002B2CF9AE}" pid="10" name="RecordPoint_ActiveItemSiteId">
    <vt:lpwstr>{5b52b9a5-e5b2-4521-8814-a1e24ca2869d}</vt:lpwstr>
  </property>
  <property fmtid="{D5CDD505-2E9C-101B-9397-08002B2CF9AE}" pid="11" name="RecordPoint_ActiveItemListId">
    <vt:lpwstr>{7243370c-05e3-4448-86f7-fca4849cebd4}</vt:lpwstr>
  </property>
  <property fmtid="{D5CDD505-2E9C-101B-9397-08002B2CF9AE}" pid="12" name="RecordPoint_ActiveItemUniqueId">
    <vt:lpwstr>{0cdb679d-f6b1-40a1-82b3-400a38451957}</vt:lpwstr>
  </property>
  <property fmtid="{D5CDD505-2E9C-101B-9397-08002B2CF9AE}" pid="13" name="RecordPoint_ActiveItemWebId">
    <vt:lpwstr>{d08daa6a-5e5e-49f3-9d0d-66002ab0e83b}</vt:lpwstr>
  </property>
  <property fmtid="{D5CDD505-2E9C-101B-9397-08002B2CF9AE}" pid="14" name="RecordPoint_RecordNumberSubmitted">
    <vt:lpwstr>R0001755880</vt:lpwstr>
  </property>
  <property fmtid="{D5CDD505-2E9C-101B-9397-08002B2CF9AE}" pid="15" name="RecordPoint_SubmissionCompleted">
    <vt:lpwstr>2018-07-23T12:48:06.3475516+10:00</vt:lpwstr>
  </property>
  <property fmtid="{D5CDD505-2E9C-101B-9397-08002B2CF9AE}" pid="16" name="_AdHocReviewCycleID">
    <vt:i4>-997901397</vt:i4>
  </property>
  <property fmtid="{D5CDD505-2E9C-101B-9397-08002B2CF9AE}" pid="17" name="_NewReviewCycle">
    <vt:lpwstr/>
  </property>
  <property fmtid="{D5CDD505-2E9C-101B-9397-08002B2CF9AE}" pid="18" name="_EmailSubject">
    <vt:lpwstr>Attention Sally Thauvette - docx version of Paul McCullough and Tom Reid submission [SEC=UNCLASSIFIED]</vt:lpwstr>
  </property>
  <property fmtid="{D5CDD505-2E9C-101B-9397-08002B2CF9AE}" pid="19" name="_AuthorEmail">
    <vt:lpwstr>Victoria.Henry@TREASURY.GOV.AU</vt:lpwstr>
  </property>
  <property fmtid="{D5CDD505-2E9C-101B-9397-08002B2CF9AE}" pid="20" name="_AuthorEmailDisplayName">
    <vt:lpwstr>Henry, Victoria</vt:lpwstr>
  </property>
  <property fmtid="{D5CDD505-2E9C-101B-9397-08002B2CF9AE}" pid="21" name="_PreviousAdHocReviewCycleID">
    <vt:i4>1550693465</vt:i4>
  </property>
  <property fmtid="{D5CDD505-2E9C-101B-9397-08002B2CF9AE}" pid="22" name="ESearchTags">
    <vt:lpwstr/>
  </property>
  <property fmtid="{D5CDD505-2E9C-101B-9397-08002B2CF9AE}" pid="23" name="PMC.ESearch.TagGeneratedTime">
    <vt:lpwstr>2019-12-09T14:53:52</vt:lpwstr>
  </property>
  <property fmtid="{D5CDD505-2E9C-101B-9397-08002B2CF9AE}" pid="24" name="HPRMSecurityCaveat">
    <vt:lpwstr/>
  </property>
  <property fmtid="{D5CDD505-2E9C-101B-9397-08002B2CF9AE}" pid="25" name="HPRMSecurityLevel">
    <vt:lpwstr>57;#OFFICIAL|11463c70-78df-4e3b-b0ff-f66cd3cb26ec</vt:lpwstr>
  </property>
</Properties>
</file>