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DC7DA" w14:textId="3D849B22" w:rsidR="00701416" w:rsidRPr="00885523" w:rsidRDefault="00701416" w:rsidP="00701416">
      <w:pPr>
        <w:spacing w:after="0"/>
        <w:rPr>
          <w:rFonts w:ascii="Arial" w:hAnsi="Arial" w:cs="Arial"/>
          <w:sz w:val="20"/>
          <w:szCs w:val="20"/>
        </w:rPr>
      </w:pPr>
      <w:r w:rsidRPr="00885523">
        <w:rPr>
          <w:rFonts w:ascii="Arial" w:hAnsi="Arial" w:cs="Arial"/>
          <w:sz w:val="20"/>
          <w:szCs w:val="20"/>
        </w:rPr>
        <w:t>Independent review of the APS</w:t>
      </w:r>
    </w:p>
    <w:p w14:paraId="4DA8B7AF" w14:textId="77777777" w:rsidR="00701416" w:rsidRPr="00885523" w:rsidRDefault="00701416" w:rsidP="00701416">
      <w:pPr>
        <w:spacing w:after="0"/>
        <w:rPr>
          <w:rFonts w:ascii="Arial" w:eastAsia="Times New Roman" w:hAnsi="Arial" w:cs="Arial"/>
          <w:sz w:val="20"/>
          <w:szCs w:val="20"/>
          <w:lang w:eastAsia="en-AU"/>
        </w:rPr>
      </w:pPr>
      <w:r w:rsidRPr="00885523">
        <w:rPr>
          <w:rFonts w:ascii="Arial" w:eastAsia="Times New Roman" w:hAnsi="Arial" w:cs="Arial"/>
          <w:sz w:val="20"/>
          <w:szCs w:val="20"/>
          <w:lang w:eastAsia="en-AU"/>
        </w:rPr>
        <w:t>Department of the Prime Minister and Cabinet</w:t>
      </w:r>
    </w:p>
    <w:p w14:paraId="5C9B84F9" w14:textId="77777777" w:rsidR="00701416" w:rsidRPr="00885523" w:rsidRDefault="00701416" w:rsidP="00701416">
      <w:pPr>
        <w:spacing w:after="0"/>
        <w:rPr>
          <w:rFonts w:ascii="Arial" w:eastAsia="Times New Roman" w:hAnsi="Arial" w:cs="Arial"/>
          <w:sz w:val="20"/>
          <w:szCs w:val="20"/>
          <w:lang w:eastAsia="en-AU"/>
        </w:rPr>
      </w:pPr>
      <w:r w:rsidRPr="00885523">
        <w:rPr>
          <w:rFonts w:ascii="Arial" w:eastAsia="Times New Roman" w:hAnsi="Arial" w:cs="Arial"/>
          <w:sz w:val="20"/>
          <w:szCs w:val="20"/>
          <w:lang w:eastAsia="en-AU"/>
        </w:rPr>
        <w:t>PO Box 6500</w:t>
      </w:r>
    </w:p>
    <w:p w14:paraId="55491A79" w14:textId="77777777" w:rsidR="00701416" w:rsidRDefault="00701416" w:rsidP="00701416">
      <w:pPr>
        <w:spacing w:after="0"/>
        <w:rPr>
          <w:rFonts w:ascii="Arial" w:eastAsia="Times New Roman" w:hAnsi="Arial" w:cs="Arial"/>
          <w:sz w:val="20"/>
          <w:szCs w:val="20"/>
          <w:lang w:eastAsia="en-AU"/>
        </w:rPr>
      </w:pPr>
      <w:r w:rsidRPr="00885523">
        <w:rPr>
          <w:rFonts w:ascii="Arial" w:eastAsia="Times New Roman" w:hAnsi="Arial" w:cs="Arial"/>
          <w:sz w:val="20"/>
          <w:szCs w:val="20"/>
          <w:lang w:eastAsia="en-AU"/>
        </w:rPr>
        <w:t>Canberra ACT 2600</w:t>
      </w:r>
    </w:p>
    <w:p w14:paraId="28F0061B" w14:textId="77777777" w:rsidR="008C284F" w:rsidRPr="000833FA" w:rsidRDefault="008C284F" w:rsidP="00716F69">
      <w:pPr>
        <w:spacing w:after="0" w:line="276" w:lineRule="auto"/>
        <w:rPr>
          <w:rFonts w:ascii="Arial" w:hAnsi="Arial" w:cs="Arial"/>
          <w:sz w:val="20"/>
          <w:szCs w:val="20"/>
        </w:rPr>
      </w:pPr>
    </w:p>
    <w:p w14:paraId="584836A6" w14:textId="77777777" w:rsidR="002114BB" w:rsidRPr="000833FA" w:rsidRDefault="002114BB" w:rsidP="00716F69">
      <w:pPr>
        <w:spacing w:after="0" w:line="276" w:lineRule="auto"/>
        <w:rPr>
          <w:rFonts w:ascii="Arial" w:hAnsi="Arial" w:cs="Arial"/>
          <w:sz w:val="20"/>
          <w:szCs w:val="20"/>
        </w:rPr>
      </w:pPr>
    </w:p>
    <w:p w14:paraId="192A1162" w14:textId="4C345C2A" w:rsidR="009C120C" w:rsidRPr="000833FA" w:rsidRDefault="009C120C" w:rsidP="00716F69">
      <w:pPr>
        <w:spacing w:after="0" w:line="276" w:lineRule="auto"/>
        <w:jc w:val="center"/>
        <w:rPr>
          <w:rFonts w:ascii="Arial" w:hAnsi="Arial" w:cs="Arial"/>
          <w:b/>
          <w:sz w:val="20"/>
          <w:szCs w:val="20"/>
        </w:rPr>
      </w:pPr>
      <w:r w:rsidRPr="000833FA">
        <w:rPr>
          <w:rFonts w:ascii="Arial" w:hAnsi="Arial" w:cs="Arial"/>
          <w:b/>
          <w:sz w:val="20"/>
          <w:szCs w:val="20"/>
        </w:rPr>
        <w:t>Submission to review of Australian Public Service</w:t>
      </w:r>
      <w:r w:rsidR="00507B25" w:rsidRPr="000833FA">
        <w:rPr>
          <w:rFonts w:ascii="Arial" w:hAnsi="Arial" w:cs="Arial"/>
          <w:b/>
          <w:sz w:val="20"/>
          <w:szCs w:val="20"/>
        </w:rPr>
        <w:t xml:space="preserve"> – Part 1</w:t>
      </w:r>
    </w:p>
    <w:p w14:paraId="70FC53A7" w14:textId="77777777" w:rsidR="002114BB" w:rsidRPr="000833FA" w:rsidRDefault="002114BB" w:rsidP="00716F69">
      <w:pPr>
        <w:spacing w:after="0" w:line="276" w:lineRule="auto"/>
        <w:rPr>
          <w:rFonts w:ascii="Arial" w:hAnsi="Arial" w:cs="Arial"/>
          <w:sz w:val="20"/>
          <w:szCs w:val="20"/>
        </w:rPr>
      </w:pPr>
    </w:p>
    <w:p w14:paraId="7459C066" w14:textId="7C39CE18" w:rsidR="009C120C" w:rsidRPr="000833FA" w:rsidRDefault="009C120C" w:rsidP="00716F69">
      <w:pPr>
        <w:spacing w:after="0" w:line="276" w:lineRule="auto"/>
        <w:rPr>
          <w:rFonts w:ascii="Arial" w:hAnsi="Arial" w:cs="Arial"/>
          <w:sz w:val="20"/>
          <w:szCs w:val="20"/>
        </w:rPr>
      </w:pPr>
      <w:r w:rsidRPr="000833FA">
        <w:rPr>
          <w:rFonts w:ascii="Arial" w:hAnsi="Arial" w:cs="Arial"/>
          <w:sz w:val="20"/>
          <w:szCs w:val="20"/>
        </w:rPr>
        <w:t xml:space="preserve">Dear </w:t>
      </w:r>
      <w:r w:rsidR="002114BB" w:rsidRPr="000833FA">
        <w:rPr>
          <w:rFonts w:ascii="Arial" w:hAnsi="Arial" w:cs="Arial"/>
          <w:sz w:val="20"/>
          <w:szCs w:val="20"/>
        </w:rPr>
        <w:t>r</w:t>
      </w:r>
      <w:r w:rsidRPr="000833FA">
        <w:rPr>
          <w:rFonts w:ascii="Arial" w:hAnsi="Arial" w:cs="Arial"/>
          <w:sz w:val="20"/>
          <w:szCs w:val="20"/>
        </w:rPr>
        <w:t>eview</w:t>
      </w:r>
      <w:r w:rsidR="002114BB" w:rsidRPr="000833FA">
        <w:rPr>
          <w:rFonts w:ascii="Arial" w:hAnsi="Arial" w:cs="Arial"/>
          <w:sz w:val="20"/>
          <w:szCs w:val="20"/>
        </w:rPr>
        <w:t>ers:</w:t>
      </w:r>
    </w:p>
    <w:p w14:paraId="19D3B3F7" w14:textId="77777777" w:rsidR="002114BB" w:rsidRPr="000833FA" w:rsidRDefault="002114BB" w:rsidP="00716F69">
      <w:pPr>
        <w:spacing w:after="0" w:line="276" w:lineRule="auto"/>
        <w:rPr>
          <w:rFonts w:ascii="Arial" w:hAnsi="Arial" w:cs="Arial"/>
          <w:sz w:val="20"/>
          <w:szCs w:val="20"/>
        </w:rPr>
      </w:pPr>
    </w:p>
    <w:p w14:paraId="59986BC9" w14:textId="76A47A8D" w:rsidR="00B4337B" w:rsidRPr="000833FA" w:rsidRDefault="00B4337B" w:rsidP="00716F69">
      <w:pPr>
        <w:spacing w:after="0" w:line="276" w:lineRule="auto"/>
        <w:rPr>
          <w:rFonts w:ascii="Arial" w:hAnsi="Arial" w:cs="Arial"/>
          <w:sz w:val="20"/>
          <w:szCs w:val="20"/>
        </w:rPr>
      </w:pPr>
      <w:r w:rsidRPr="000833FA">
        <w:rPr>
          <w:rFonts w:ascii="Arial" w:hAnsi="Arial" w:cs="Arial"/>
          <w:sz w:val="20"/>
          <w:szCs w:val="20"/>
        </w:rPr>
        <w:t xml:space="preserve">This is </w:t>
      </w:r>
      <w:r w:rsidR="00507B25" w:rsidRPr="000833FA">
        <w:rPr>
          <w:rFonts w:ascii="Arial" w:hAnsi="Arial" w:cs="Arial"/>
          <w:sz w:val="20"/>
          <w:szCs w:val="20"/>
        </w:rPr>
        <w:t xml:space="preserve">the first part of </w:t>
      </w:r>
      <w:r w:rsidR="009C120C" w:rsidRPr="000833FA">
        <w:rPr>
          <w:rFonts w:ascii="Arial" w:hAnsi="Arial" w:cs="Arial"/>
          <w:sz w:val="20"/>
          <w:szCs w:val="20"/>
        </w:rPr>
        <w:t>a submission to your review of the Australian Public Service</w:t>
      </w:r>
      <w:r w:rsidR="00670314">
        <w:rPr>
          <w:rFonts w:ascii="Arial" w:hAnsi="Arial" w:cs="Arial"/>
          <w:sz w:val="20"/>
          <w:szCs w:val="20"/>
        </w:rPr>
        <w:t xml:space="preserve"> in which the Chair asked for challenges to your thinking</w:t>
      </w:r>
      <w:r w:rsidR="009C120C" w:rsidRPr="000833FA">
        <w:rPr>
          <w:rFonts w:ascii="Arial" w:hAnsi="Arial" w:cs="Arial"/>
          <w:sz w:val="20"/>
          <w:szCs w:val="20"/>
        </w:rPr>
        <w:t>.</w:t>
      </w:r>
      <w:r w:rsidRPr="000833FA">
        <w:rPr>
          <w:rFonts w:ascii="Arial" w:hAnsi="Arial" w:cs="Arial"/>
          <w:sz w:val="20"/>
          <w:szCs w:val="20"/>
        </w:rPr>
        <w:t xml:space="preserve">  </w:t>
      </w:r>
      <w:r w:rsidR="00F0287C" w:rsidRPr="000833FA">
        <w:rPr>
          <w:rFonts w:ascii="Arial" w:hAnsi="Arial" w:cs="Arial"/>
          <w:sz w:val="20"/>
          <w:szCs w:val="20"/>
        </w:rPr>
        <w:t xml:space="preserve">While based on national transport policy </w:t>
      </w:r>
      <w:r w:rsidR="0054228C">
        <w:rPr>
          <w:rFonts w:ascii="Arial" w:hAnsi="Arial" w:cs="Arial"/>
          <w:sz w:val="20"/>
          <w:szCs w:val="20"/>
        </w:rPr>
        <w:t xml:space="preserve">you </w:t>
      </w:r>
      <w:r w:rsidR="00F0287C" w:rsidRPr="000833FA">
        <w:rPr>
          <w:rFonts w:ascii="Arial" w:hAnsi="Arial" w:cs="Arial"/>
          <w:sz w:val="20"/>
          <w:szCs w:val="20"/>
        </w:rPr>
        <w:t>might consider whether it has more general application.</w:t>
      </w:r>
    </w:p>
    <w:p w14:paraId="116FABA3" w14:textId="77777777" w:rsidR="00B4337B" w:rsidRPr="000833FA" w:rsidRDefault="00B4337B" w:rsidP="00716F69">
      <w:pPr>
        <w:spacing w:after="0" w:line="276" w:lineRule="auto"/>
        <w:rPr>
          <w:rFonts w:ascii="Arial" w:hAnsi="Arial" w:cs="Arial"/>
          <w:sz w:val="20"/>
          <w:szCs w:val="20"/>
        </w:rPr>
      </w:pPr>
    </w:p>
    <w:p w14:paraId="02A22F5B" w14:textId="7F546CB0" w:rsidR="00A96B3B" w:rsidRPr="000833FA" w:rsidRDefault="00B4337B" w:rsidP="00716F69">
      <w:pPr>
        <w:spacing w:after="0" w:line="276" w:lineRule="auto"/>
        <w:rPr>
          <w:rFonts w:ascii="Arial" w:hAnsi="Arial" w:cs="Arial"/>
          <w:sz w:val="20"/>
          <w:szCs w:val="20"/>
        </w:rPr>
      </w:pPr>
      <w:r w:rsidRPr="000833FA">
        <w:rPr>
          <w:rFonts w:ascii="Arial" w:hAnsi="Arial" w:cs="Arial"/>
          <w:sz w:val="20"/>
          <w:szCs w:val="20"/>
        </w:rPr>
        <w:t xml:space="preserve">It </w:t>
      </w:r>
      <w:r w:rsidR="009C120C" w:rsidRPr="000833FA">
        <w:rPr>
          <w:rFonts w:ascii="Arial" w:hAnsi="Arial" w:cs="Arial"/>
          <w:sz w:val="20"/>
          <w:szCs w:val="20"/>
        </w:rPr>
        <w:t xml:space="preserve">identifies several </w:t>
      </w:r>
      <w:r w:rsidR="00B65CC0" w:rsidRPr="000833FA">
        <w:rPr>
          <w:rFonts w:ascii="Arial" w:hAnsi="Arial" w:cs="Arial"/>
          <w:sz w:val="20"/>
          <w:szCs w:val="20"/>
        </w:rPr>
        <w:t xml:space="preserve">inter-related </w:t>
      </w:r>
      <w:r w:rsidR="009C120C" w:rsidRPr="000833FA">
        <w:rPr>
          <w:rFonts w:ascii="Arial" w:hAnsi="Arial" w:cs="Arial"/>
          <w:sz w:val="20"/>
          <w:szCs w:val="20"/>
        </w:rPr>
        <w:t xml:space="preserve">matters which do not appear in </w:t>
      </w:r>
      <w:r w:rsidR="00DB4F41" w:rsidRPr="000833FA">
        <w:rPr>
          <w:rFonts w:ascii="Arial" w:hAnsi="Arial" w:cs="Arial"/>
          <w:sz w:val="20"/>
          <w:szCs w:val="20"/>
        </w:rPr>
        <w:t>the</w:t>
      </w:r>
      <w:r w:rsidR="009C120C" w:rsidRPr="000833FA">
        <w:rPr>
          <w:rFonts w:ascii="Arial" w:hAnsi="Arial" w:cs="Arial"/>
          <w:sz w:val="20"/>
          <w:szCs w:val="20"/>
        </w:rPr>
        <w:t xml:space="preserve"> draft report</w:t>
      </w:r>
      <w:r w:rsidR="008B32A2" w:rsidRPr="000833FA">
        <w:rPr>
          <w:rFonts w:ascii="Arial" w:hAnsi="Arial" w:cs="Arial"/>
          <w:sz w:val="20"/>
          <w:szCs w:val="20"/>
        </w:rPr>
        <w:t>.  L</w:t>
      </w:r>
      <w:r w:rsidR="007A7287" w:rsidRPr="000833FA">
        <w:rPr>
          <w:rFonts w:ascii="Arial" w:hAnsi="Arial" w:cs="Arial"/>
          <w:sz w:val="20"/>
          <w:szCs w:val="20"/>
        </w:rPr>
        <w:t>i</w:t>
      </w:r>
      <w:r w:rsidR="008B32A2" w:rsidRPr="000833FA">
        <w:rPr>
          <w:rFonts w:ascii="Arial" w:hAnsi="Arial" w:cs="Arial"/>
          <w:sz w:val="20"/>
          <w:szCs w:val="20"/>
        </w:rPr>
        <w:t>n</w:t>
      </w:r>
      <w:r w:rsidR="007A7287" w:rsidRPr="000833FA">
        <w:rPr>
          <w:rFonts w:ascii="Arial" w:hAnsi="Arial" w:cs="Arial"/>
          <w:sz w:val="20"/>
          <w:szCs w:val="20"/>
        </w:rPr>
        <w:t>ks between the</w:t>
      </w:r>
      <w:r w:rsidR="008B32A2" w:rsidRPr="000833FA">
        <w:rPr>
          <w:rFonts w:ascii="Arial" w:hAnsi="Arial" w:cs="Arial"/>
          <w:sz w:val="20"/>
          <w:szCs w:val="20"/>
        </w:rPr>
        <w:t xml:space="preserve"> matters</w:t>
      </w:r>
      <w:r w:rsidR="007A7287" w:rsidRPr="000833FA">
        <w:rPr>
          <w:rFonts w:ascii="Arial" w:hAnsi="Arial" w:cs="Arial"/>
          <w:sz w:val="20"/>
          <w:szCs w:val="20"/>
        </w:rPr>
        <w:t xml:space="preserve"> were not </w:t>
      </w:r>
      <w:r w:rsidR="008B32A2" w:rsidRPr="000833FA">
        <w:rPr>
          <w:rFonts w:ascii="Arial" w:hAnsi="Arial" w:cs="Arial"/>
          <w:sz w:val="20"/>
          <w:szCs w:val="20"/>
        </w:rPr>
        <w:t xml:space="preserve">clearly </w:t>
      </w:r>
      <w:r w:rsidR="007A7287" w:rsidRPr="000833FA">
        <w:rPr>
          <w:rFonts w:ascii="Arial" w:hAnsi="Arial" w:cs="Arial"/>
          <w:sz w:val="20"/>
          <w:szCs w:val="20"/>
        </w:rPr>
        <w:t xml:space="preserve">identified in </w:t>
      </w:r>
      <w:r w:rsidR="008C284F" w:rsidRPr="000833FA">
        <w:rPr>
          <w:rFonts w:ascii="Arial" w:hAnsi="Arial" w:cs="Arial"/>
          <w:sz w:val="20"/>
          <w:szCs w:val="20"/>
        </w:rPr>
        <w:t xml:space="preserve">the six </w:t>
      </w:r>
      <w:r w:rsidR="007A7287" w:rsidRPr="000833FA">
        <w:rPr>
          <w:rFonts w:ascii="Arial" w:hAnsi="Arial" w:cs="Arial"/>
          <w:sz w:val="20"/>
          <w:szCs w:val="20"/>
        </w:rPr>
        <w:t xml:space="preserve">papers commissioned from the Australian And New Zealand </w:t>
      </w:r>
      <w:r w:rsidR="008B32A2" w:rsidRPr="000833FA">
        <w:rPr>
          <w:rFonts w:ascii="Arial" w:hAnsi="Arial" w:cs="Arial"/>
          <w:sz w:val="20"/>
          <w:szCs w:val="20"/>
        </w:rPr>
        <w:t xml:space="preserve">School </w:t>
      </w:r>
      <w:r w:rsidR="007A7287" w:rsidRPr="000833FA">
        <w:rPr>
          <w:rFonts w:ascii="Arial" w:hAnsi="Arial" w:cs="Arial"/>
          <w:sz w:val="20"/>
          <w:szCs w:val="20"/>
        </w:rPr>
        <w:t>of Government</w:t>
      </w:r>
      <w:r w:rsidR="009C120C" w:rsidRPr="000833FA">
        <w:rPr>
          <w:rFonts w:ascii="Arial" w:hAnsi="Arial" w:cs="Arial"/>
          <w:sz w:val="20"/>
          <w:szCs w:val="20"/>
        </w:rPr>
        <w:t>.</w:t>
      </w:r>
      <w:r w:rsidR="002114BB" w:rsidRPr="000833FA">
        <w:rPr>
          <w:rFonts w:ascii="Arial" w:hAnsi="Arial" w:cs="Arial"/>
          <w:sz w:val="20"/>
          <w:szCs w:val="20"/>
        </w:rPr>
        <w:t xml:space="preserve"> </w:t>
      </w:r>
      <w:r w:rsidR="00DD2781" w:rsidRPr="000833FA">
        <w:rPr>
          <w:rFonts w:ascii="Arial" w:hAnsi="Arial" w:cs="Arial"/>
          <w:sz w:val="20"/>
          <w:szCs w:val="20"/>
        </w:rPr>
        <w:t xml:space="preserve"> </w:t>
      </w:r>
    </w:p>
    <w:p w14:paraId="2630E5BD" w14:textId="3034C434" w:rsidR="009C120C" w:rsidRPr="000833FA" w:rsidRDefault="009C120C" w:rsidP="00716F69">
      <w:pPr>
        <w:spacing w:after="0" w:line="276" w:lineRule="auto"/>
        <w:rPr>
          <w:rFonts w:ascii="Arial" w:hAnsi="Arial" w:cs="Arial"/>
          <w:sz w:val="20"/>
          <w:szCs w:val="20"/>
        </w:rPr>
      </w:pPr>
      <w:r w:rsidRPr="000833FA">
        <w:rPr>
          <w:rFonts w:ascii="Arial" w:hAnsi="Arial" w:cs="Arial"/>
          <w:sz w:val="20"/>
          <w:szCs w:val="20"/>
        </w:rPr>
        <w:t xml:space="preserve">  </w:t>
      </w:r>
    </w:p>
    <w:p w14:paraId="2012038A" w14:textId="6E983066" w:rsidR="009C120C" w:rsidRPr="000833FA" w:rsidRDefault="009C120C" w:rsidP="00716F69">
      <w:pPr>
        <w:spacing w:after="0" w:line="276" w:lineRule="auto"/>
        <w:rPr>
          <w:rFonts w:ascii="Arial" w:hAnsi="Arial" w:cs="Arial"/>
          <w:sz w:val="20"/>
          <w:szCs w:val="20"/>
        </w:rPr>
      </w:pPr>
      <w:r w:rsidRPr="000833FA">
        <w:rPr>
          <w:rFonts w:ascii="Arial" w:hAnsi="Arial" w:cs="Arial"/>
          <w:sz w:val="20"/>
          <w:szCs w:val="20"/>
        </w:rPr>
        <w:t>Th</w:t>
      </w:r>
      <w:r w:rsidR="002114BB" w:rsidRPr="000833FA">
        <w:rPr>
          <w:rFonts w:ascii="Arial" w:hAnsi="Arial" w:cs="Arial"/>
          <w:sz w:val="20"/>
          <w:szCs w:val="20"/>
        </w:rPr>
        <w:t>e</w:t>
      </w:r>
      <w:r w:rsidR="00DD2781" w:rsidRPr="000833FA">
        <w:rPr>
          <w:rFonts w:ascii="Arial" w:hAnsi="Arial" w:cs="Arial"/>
          <w:sz w:val="20"/>
          <w:szCs w:val="20"/>
        </w:rPr>
        <w:t xml:space="preserve"> matters</w:t>
      </w:r>
      <w:r w:rsidR="00B65CC0" w:rsidRPr="000833FA">
        <w:rPr>
          <w:rFonts w:ascii="Arial" w:hAnsi="Arial" w:cs="Arial"/>
          <w:sz w:val="20"/>
          <w:szCs w:val="20"/>
        </w:rPr>
        <w:t xml:space="preserve"> are:</w:t>
      </w:r>
    </w:p>
    <w:p w14:paraId="7E5D1AB8" w14:textId="541F150F" w:rsidR="009C120C" w:rsidRPr="000833FA" w:rsidRDefault="009C120C" w:rsidP="00716F69">
      <w:pPr>
        <w:pStyle w:val="ListParagraph"/>
        <w:numPr>
          <w:ilvl w:val="0"/>
          <w:numId w:val="3"/>
        </w:numPr>
        <w:spacing w:after="0" w:line="276" w:lineRule="auto"/>
        <w:ind w:left="360"/>
        <w:rPr>
          <w:rFonts w:ascii="Arial" w:hAnsi="Arial" w:cs="Arial"/>
          <w:sz w:val="20"/>
          <w:szCs w:val="20"/>
        </w:rPr>
      </w:pPr>
      <w:r w:rsidRPr="000833FA">
        <w:rPr>
          <w:rFonts w:ascii="Arial" w:hAnsi="Arial" w:cs="Arial"/>
          <w:sz w:val="20"/>
          <w:szCs w:val="20"/>
        </w:rPr>
        <w:t>loss of connection between the public service and foundations of Australia’s democra</w:t>
      </w:r>
      <w:r w:rsidR="00271001" w:rsidRPr="000833FA">
        <w:rPr>
          <w:rFonts w:ascii="Arial" w:hAnsi="Arial" w:cs="Arial"/>
          <w:sz w:val="20"/>
          <w:szCs w:val="20"/>
        </w:rPr>
        <w:t>cy;</w:t>
      </w:r>
    </w:p>
    <w:p w14:paraId="00221D63" w14:textId="30998E4E" w:rsidR="00271001" w:rsidRPr="000833FA" w:rsidRDefault="00823CFF" w:rsidP="00716F69">
      <w:pPr>
        <w:pStyle w:val="ListParagraph"/>
        <w:numPr>
          <w:ilvl w:val="0"/>
          <w:numId w:val="3"/>
        </w:numPr>
        <w:spacing w:after="0" w:line="276" w:lineRule="auto"/>
        <w:ind w:left="360"/>
        <w:rPr>
          <w:rFonts w:ascii="Arial" w:hAnsi="Arial" w:cs="Arial"/>
          <w:sz w:val="20"/>
          <w:szCs w:val="20"/>
        </w:rPr>
      </w:pPr>
      <w:r>
        <w:rPr>
          <w:rFonts w:ascii="Arial" w:hAnsi="Arial" w:cs="Arial"/>
          <w:sz w:val="20"/>
          <w:szCs w:val="20"/>
        </w:rPr>
        <w:t xml:space="preserve">governance </w:t>
      </w:r>
      <w:r w:rsidR="00832EAD" w:rsidRPr="000833FA">
        <w:rPr>
          <w:rFonts w:ascii="Arial" w:hAnsi="Arial" w:cs="Arial"/>
          <w:sz w:val="20"/>
          <w:szCs w:val="20"/>
        </w:rPr>
        <w:t>issues</w:t>
      </w:r>
      <w:r w:rsidR="00271001" w:rsidRPr="000833FA">
        <w:rPr>
          <w:rFonts w:ascii="Arial" w:hAnsi="Arial" w:cs="Arial"/>
          <w:sz w:val="20"/>
          <w:szCs w:val="20"/>
        </w:rPr>
        <w:t>;</w:t>
      </w:r>
    </w:p>
    <w:p w14:paraId="2EA04F4C" w14:textId="33E2B88F" w:rsidR="00271001" w:rsidRPr="000833FA" w:rsidRDefault="00881D84" w:rsidP="00716F69">
      <w:pPr>
        <w:pStyle w:val="ListParagraph"/>
        <w:numPr>
          <w:ilvl w:val="0"/>
          <w:numId w:val="3"/>
        </w:numPr>
        <w:spacing w:after="0" w:line="276" w:lineRule="auto"/>
        <w:ind w:left="360"/>
        <w:rPr>
          <w:rFonts w:ascii="Arial" w:hAnsi="Arial" w:cs="Arial"/>
          <w:sz w:val="20"/>
          <w:szCs w:val="20"/>
        </w:rPr>
      </w:pPr>
      <w:r w:rsidRPr="000833FA">
        <w:rPr>
          <w:rFonts w:ascii="Arial" w:hAnsi="Arial" w:cs="Arial"/>
          <w:sz w:val="20"/>
          <w:szCs w:val="20"/>
        </w:rPr>
        <w:t>dis</w:t>
      </w:r>
      <w:r w:rsidR="00BC5E69" w:rsidRPr="000833FA">
        <w:rPr>
          <w:rFonts w:ascii="Arial" w:hAnsi="Arial" w:cs="Arial"/>
          <w:sz w:val="20"/>
          <w:szCs w:val="20"/>
        </w:rPr>
        <w:t>engagement with the</w:t>
      </w:r>
      <w:r w:rsidR="002114BB" w:rsidRPr="000833FA">
        <w:rPr>
          <w:rFonts w:ascii="Arial" w:hAnsi="Arial" w:cs="Arial"/>
          <w:sz w:val="20"/>
          <w:szCs w:val="20"/>
        </w:rPr>
        <w:t xml:space="preserve"> community</w:t>
      </w:r>
      <w:r w:rsidR="00271001" w:rsidRPr="000833FA">
        <w:rPr>
          <w:rFonts w:ascii="Arial" w:hAnsi="Arial" w:cs="Arial"/>
          <w:sz w:val="20"/>
          <w:szCs w:val="20"/>
        </w:rPr>
        <w:t xml:space="preserve"> and l</w:t>
      </w:r>
      <w:r w:rsidR="00823CFF">
        <w:rPr>
          <w:rFonts w:ascii="Arial" w:hAnsi="Arial" w:cs="Arial"/>
          <w:sz w:val="20"/>
          <w:szCs w:val="20"/>
        </w:rPr>
        <w:t>ack</w:t>
      </w:r>
      <w:r w:rsidR="00271001" w:rsidRPr="000833FA">
        <w:rPr>
          <w:rFonts w:ascii="Arial" w:hAnsi="Arial" w:cs="Arial"/>
          <w:sz w:val="20"/>
          <w:szCs w:val="20"/>
        </w:rPr>
        <w:t xml:space="preserve"> of pride in work.</w:t>
      </w:r>
    </w:p>
    <w:p w14:paraId="4ABA19AD" w14:textId="6077DA09" w:rsidR="00507B25" w:rsidRPr="000833FA" w:rsidRDefault="00507B25" w:rsidP="00716F69">
      <w:pPr>
        <w:spacing w:after="0" w:line="276" w:lineRule="auto"/>
        <w:rPr>
          <w:rFonts w:ascii="Arial" w:hAnsi="Arial" w:cs="Arial"/>
          <w:sz w:val="20"/>
          <w:szCs w:val="20"/>
        </w:rPr>
      </w:pPr>
    </w:p>
    <w:p w14:paraId="6F2F274E" w14:textId="0425E55F" w:rsidR="00515E7A" w:rsidRPr="000833FA" w:rsidRDefault="008B32A2" w:rsidP="003F1D04">
      <w:pPr>
        <w:spacing w:after="0" w:line="276" w:lineRule="auto"/>
        <w:rPr>
          <w:rFonts w:ascii="Arial" w:hAnsi="Arial" w:cs="Arial"/>
          <w:sz w:val="20"/>
          <w:szCs w:val="20"/>
        </w:rPr>
      </w:pPr>
      <w:r w:rsidRPr="000833FA">
        <w:rPr>
          <w:rFonts w:ascii="Arial" w:hAnsi="Arial" w:cs="Arial"/>
          <w:sz w:val="20"/>
          <w:szCs w:val="20"/>
        </w:rPr>
        <w:t xml:space="preserve">The draft report and commissioned papers concern themselves with a future Australian Public Service.  </w:t>
      </w:r>
      <w:r w:rsidR="00515E7A" w:rsidRPr="000833FA">
        <w:rPr>
          <w:rFonts w:ascii="Arial" w:hAnsi="Arial" w:cs="Arial"/>
          <w:sz w:val="20"/>
          <w:szCs w:val="20"/>
        </w:rPr>
        <w:t>This is reason for considering the ‘stewardship’ function</w:t>
      </w:r>
      <w:r w:rsidRPr="000833FA">
        <w:rPr>
          <w:rFonts w:ascii="Arial" w:hAnsi="Arial" w:cs="Arial"/>
          <w:sz w:val="20"/>
          <w:szCs w:val="20"/>
        </w:rPr>
        <w:t xml:space="preserve"> </w:t>
      </w:r>
      <w:r w:rsidR="00515E7A" w:rsidRPr="000833FA">
        <w:rPr>
          <w:rFonts w:ascii="Arial" w:hAnsi="Arial" w:cs="Arial"/>
          <w:sz w:val="20"/>
          <w:szCs w:val="20"/>
        </w:rPr>
        <w:t xml:space="preserve">currently assigned to Secretaries.  The three points (above) imply deficiencies in execution of this function. </w:t>
      </w:r>
      <w:r w:rsidR="008C284F" w:rsidRPr="000833FA">
        <w:rPr>
          <w:rFonts w:ascii="Arial" w:hAnsi="Arial" w:cs="Arial"/>
          <w:sz w:val="20"/>
          <w:szCs w:val="20"/>
        </w:rPr>
        <w:t>T</w:t>
      </w:r>
      <w:r w:rsidR="00515E7A" w:rsidRPr="000833FA">
        <w:rPr>
          <w:rFonts w:ascii="Arial" w:hAnsi="Arial" w:cs="Arial"/>
          <w:sz w:val="20"/>
          <w:szCs w:val="20"/>
        </w:rPr>
        <w:t>h</w:t>
      </w:r>
      <w:r w:rsidR="00610275">
        <w:rPr>
          <w:rFonts w:ascii="Arial" w:hAnsi="Arial" w:cs="Arial"/>
          <w:sz w:val="20"/>
          <w:szCs w:val="20"/>
        </w:rPr>
        <w:t>is suggests</w:t>
      </w:r>
      <w:r w:rsidR="003F1D04">
        <w:rPr>
          <w:rFonts w:ascii="Arial" w:hAnsi="Arial" w:cs="Arial"/>
          <w:sz w:val="20"/>
          <w:szCs w:val="20"/>
        </w:rPr>
        <w:t xml:space="preserve"> the </w:t>
      </w:r>
      <w:r w:rsidR="00610275">
        <w:rPr>
          <w:rFonts w:ascii="Arial" w:hAnsi="Arial" w:cs="Arial"/>
          <w:sz w:val="20"/>
          <w:szCs w:val="20"/>
        </w:rPr>
        <w:t xml:space="preserve">detail of the </w:t>
      </w:r>
      <w:r w:rsidR="003F1D04">
        <w:rPr>
          <w:rFonts w:ascii="Arial" w:hAnsi="Arial" w:cs="Arial"/>
          <w:sz w:val="20"/>
          <w:szCs w:val="20"/>
        </w:rPr>
        <w:t xml:space="preserve">Public Service Act </w:t>
      </w:r>
      <w:r w:rsidR="00610275">
        <w:rPr>
          <w:rFonts w:ascii="Arial" w:hAnsi="Arial" w:cs="Arial"/>
          <w:sz w:val="20"/>
          <w:szCs w:val="20"/>
        </w:rPr>
        <w:t>shelters</w:t>
      </w:r>
      <w:r w:rsidR="00593638">
        <w:rPr>
          <w:rFonts w:ascii="Arial" w:hAnsi="Arial" w:cs="Arial"/>
          <w:sz w:val="20"/>
          <w:szCs w:val="20"/>
        </w:rPr>
        <w:t xml:space="preserve"> underlying</w:t>
      </w:r>
      <w:r w:rsidR="00175C61" w:rsidRPr="000833FA">
        <w:rPr>
          <w:rFonts w:ascii="Arial" w:hAnsi="Arial" w:cs="Arial"/>
          <w:sz w:val="20"/>
          <w:szCs w:val="20"/>
        </w:rPr>
        <w:t xml:space="preserve"> problems</w:t>
      </w:r>
      <w:r w:rsidR="00593638">
        <w:rPr>
          <w:rFonts w:ascii="Arial" w:hAnsi="Arial" w:cs="Arial"/>
          <w:sz w:val="20"/>
          <w:szCs w:val="20"/>
        </w:rPr>
        <w:t xml:space="preserve"> - as </w:t>
      </w:r>
      <w:r w:rsidR="00610275">
        <w:rPr>
          <w:rFonts w:ascii="Arial" w:hAnsi="Arial" w:cs="Arial"/>
          <w:sz w:val="20"/>
          <w:szCs w:val="20"/>
        </w:rPr>
        <w:t>do</w:t>
      </w:r>
      <w:r w:rsidR="00593638">
        <w:rPr>
          <w:rFonts w:ascii="Arial" w:hAnsi="Arial" w:cs="Arial"/>
          <w:sz w:val="20"/>
          <w:szCs w:val="20"/>
        </w:rPr>
        <w:t xml:space="preserve"> some other</w:t>
      </w:r>
      <w:r w:rsidR="003F1D04">
        <w:rPr>
          <w:rFonts w:ascii="Arial" w:hAnsi="Arial" w:cs="Arial"/>
          <w:sz w:val="20"/>
          <w:szCs w:val="20"/>
        </w:rPr>
        <w:t xml:space="preserve"> attempts to legislate proper</w:t>
      </w:r>
      <w:r w:rsidR="00593638">
        <w:rPr>
          <w:rFonts w:ascii="Arial" w:hAnsi="Arial" w:cs="Arial"/>
          <w:sz w:val="20"/>
          <w:szCs w:val="20"/>
        </w:rPr>
        <w:t>,</w:t>
      </w:r>
      <w:r w:rsidR="003F1D04">
        <w:rPr>
          <w:rFonts w:ascii="Arial" w:hAnsi="Arial" w:cs="Arial"/>
          <w:sz w:val="20"/>
          <w:szCs w:val="20"/>
        </w:rPr>
        <w:t xml:space="preserve"> ethical behaviour.</w:t>
      </w:r>
      <w:r w:rsidR="00593638">
        <w:rPr>
          <w:rFonts w:ascii="Arial" w:hAnsi="Arial" w:cs="Arial"/>
          <w:sz w:val="20"/>
          <w:szCs w:val="20"/>
        </w:rPr>
        <w:t xml:space="preserve">  </w:t>
      </w:r>
    </w:p>
    <w:p w14:paraId="4FEDA731" w14:textId="77777777" w:rsidR="00515E7A" w:rsidRPr="000833FA" w:rsidRDefault="00515E7A" w:rsidP="00716F69">
      <w:pPr>
        <w:spacing w:after="0" w:line="276" w:lineRule="auto"/>
        <w:rPr>
          <w:rFonts w:ascii="Arial" w:hAnsi="Arial" w:cs="Arial"/>
          <w:sz w:val="20"/>
          <w:szCs w:val="20"/>
        </w:rPr>
      </w:pPr>
    </w:p>
    <w:p w14:paraId="696B4DC2" w14:textId="7F03CD73" w:rsidR="00B65CC0" w:rsidRPr="000833FA" w:rsidRDefault="00507B25" w:rsidP="00716F69">
      <w:pPr>
        <w:spacing w:after="0" w:line="276" w:lineRule="auto"/>
        <w:rPr>
          <w:rFonts w:ascii="Arial" w:hAnsi="Arial" w:cs="Arial"/>
          <w:sz w:val="20"/>
          <w:szCs w:val="20"/>
        </w:rPr>
      </w:pPr>
      <w:r w:rsidRPr="000833FA">
        <w:rPr>
          <w:rFonts w:ascii="Arial" w:hAnsi="Arial" w:cs="Arial"/>
          <w:sz w:val="20"/>
          <w:szCs w:val="20"/>
        </w:rPr>
        <w:t>This part of the submission deals with the first two points</w:t>
      </w:r>
      <w:r w:rsidR="00B65458" w:rsidRPr="000833FA">
        <w:rPr>
          <w:rFonts w:ascii="Arial" w:hAnsi="Arial" w:cs="Arial"/>
          <w:sz w:val="20"/>
          <w:szCs w:val="20"/>
        </w:rPr>
        <w:t>: democratic foundations and governance</w:t>
      </w:r>
      <w:r w:rsidRPr="000833FA">
        <w:rPr>
          <w:rFonts w:ascii="Arial" w:hAnsi="Arial" w:cs="Arial"/>
          <w:sz w:val="20"/>
          <w:szCs w:val="20"/>
        </w:rPr>
        <w:t xml:space="preserve">.  </w:t>
      </w:r>
    </w:p>
    <w:p w14:paraId="273CAF02" w14:textId="77777777" w:rsidR="00B65CC0" w:rsidRPr="000833FA" w:rsidRDefault="00B65CC0" w:rsidP="00716F69">
      <w:pPr>
        <w:spacing w:after="0" w:line="276" w:lineRule="auto"/>
        <w:rPr>
          <w:rFonts w:ascii="Arial" w:hAnsi="Arial" w:cs="Arial"/>
          <w:sz w:val="20"/>
          <w:szCs w:val="20"/>
        </w:rPr>
      </w:pPr>
    </w:p>
    <w:p w14:paraId="2A0CF209" w14:textId="31676F86" w:rsidR="00C535EA" w:rsidRDefault="00B65CC0" w:rsidP="00716F69">
      <w:pPr>
        <w:spacing w:after="0" w:line="276" w:lineRule="auto"/>
        <w:rPr>
          <w:rFonts w:ascii="Arial" w:hAnsi="Arial" w:cs="Arial"/>
          <w:sz w:val="20"/>
          <w:szCs w:val="20"/>
        </w:rPr>
      </w:pPr>
      <w:r w:rsidRPr="000833FA">
        <w:rPr>
          <w:rFonts w:ascii="Arial" w:hAnsi="Arial" w:cs="Arial"/>
          <w:sz w:val="20"/>
          <w:szCs w:val="20"/>
        </w:rPr>
        <w:t>R</w:t>
      </w:r>
      <w:r w:rsidR="00B4337B" w:rsidRPr="000833FA">
        <w:rPr>
          <w:rFonts w:ascii="Arial" w:hAnsi="Arial" w:cs="Arial"/>
          <w:sz w:val="20"/>
          <w:szCs w:val="20"/>
        </w:rPr>
        <w:t xml:space="preserve">egarding </w:t>
      </w:r>
      <w:r w:rsidR="00D33BDA">
        <w:rPr>
          <w:rFonts w:ascii="Arial" w:hAnsi="Arial" w:cs="Arial"/>
          <w:sz w:val="20"/>
          <w:szCs w:val="20"/>
        </w:rPr>
        <w:t>democratic foundations</w:t>
      </w:r>
      <w:r w:rsidR="00B4337B" w:rsidRPr="000833FA">
        <w:rPr>
          <w:rFonts w:ascii="Arial" w:hAnsi="Arial" w:cs="Arial"/>
          <w:sz w:val="20"/>
          <w:szCs w:val="20"/>
        </w:rPr>
        <w:t xml:space="preserve">, </w:t>
      </w:r>
      <w:r w:rsidR="003F1D04">
        <w:rPr>
          <w:rFonts w:ascii="Arial" w:hAnsi="Arial" w:cs="Arial"/>
          <w:sz w:val="20"/>
          <w:szCs w:val="20"/>
        </w:rPr>
        <w:t xml:space="preserve">claims </w:t>
      </w:r>
      <w:r w:rsidRPr="000833FA">
        <w:rPr>
          <w:rFonts w:ascii="Arial" w:hAnsi="Arial" w:cs="Arial"/>
          <w:sz w:val="20"/>
          <w:szCs w:val="20"/>
        </w:rPr>
        <w:t>the Australian Public Service</w:t>
      </w:r>
      <w:r w:rsidR="00AE59EB" w:rsidRPr="000833FA">
        <w:rPr>
          <w:rFonts w:ascii="Arial" w:hAnsi="Arial" w:cs="Arial"/>
          <w:sz w:val="20"/>
          <w:szCs w:val="20"/>
        </w:rPr>
        <w:t xml:space="preserve"> </w:t>
      </w:r>
      <w:r w:rsidR="003567F7" w:rsidRPr="000833FA">
        <w:rPr>
          <w:rFonts w:ascii="Arial" w:hAnsi="Arial" w:cs="Arial"/>
          <w:sz w:val="20"/>
          <w:szCs w:val="20"/>
        </w:rPr>
        <w:t>s</w:t>
      </w:r>
      <w:r w:rsidR="00AE59EB" w:rsidRPr="000833FA">
        <w:rPr>
          <w:rFonts w:ascii="Arial" w:hAnsi="Arial" w:cs="Arial"/>
          <w:sz w:val="20"/>
          <w:szCs w:val="20"/>
        </w:rPr>
        <w:t>erv</w:t>
      </w:r>
      <w:r w:rsidR="00BC5E69" w:rsidRPr="000833FA">
        <w:rPr>
          <w:rFonts w:ascii="Arial" w:hAnsi="Arial" w:cs="Arial"/>
          <w:sz w:val="20"/>
          <w:szCs w:val="20"/>
        </w:rPr>
        <w:t>es</w:t>
      </w:r>
      <w:r w:rsidRPr="000833FA">
        <w:rPr>
          <w:rFonts w:ascii="Arial" w:hAnsi="Arial" w:cs="Arial"/>
          <w:sz w:val="20"/>
          <w:szCs w:val="20"/>
        </w:rPr>
        <w:t xml:space="preserve"> </w:t>
      </w:r>
      <w:r w:rsidR="00AE59EB" w:rsidRPr="000833FA">
        <w:rPr>
          <w:rFonts w:ascii="Arial" w:hAnsi="Arial" w:cs="Arial"/>
          <w:sz w:val="20"/>
          <w:szCs w:val="20"/>
        </w:rPr>
        <w:t>the public</w:t>
      </w:r>
      <w:r w:rsidR="003F1D04">
        <w:rPr>
          <w:rFonts w:ascii="Arial" w:hAnsi="Arial" w:cs="Arial"/>
          <w:sz w:val="20"/>
          <w:szCs w:val="20"/>
        </w:rPr>
        <w:t xml:space="preserve"> are concerning</w:t>
      </w:r>
      <w:r w:rsidR="00BC5E69" w:rsidRPr="000833FA">
        <w:rPr>
          <w:rFonts w:ascii="Arial" w:hAnsi="Arial" w:cs="Arial"/>
          <w:sz w:val="20"/>
          <w:szCs w:val="20"/>
        </w:rPr>
        <w:t>.</w:t>
      </w:r>
      <w:r w:rsidR="003F1D04">
        <w:rPr>
          <w:rFonts w:ascii="Arial" w:hAnsi="Arial" w:cs="Arial"/>
          <w:sz w:val="20"/>
          <w:szCs w:val="20"/>
        </w:rPr>
        <w:t xml:space="preserve">  Th</w:t>
      </w:r>
      <w:r w:rsidR="00C535EA">
        <w:rPr>
          <w:rFonts w:ascii="Arial" w:hAnsi="Arial" w:cs="Arial"/>
          <w:sz w:val="20"/>
          <w:szCs w:val="20"/>
        </w:rPr>
        <w:t>ey</w:t>
      </w:r>
      <w:r w:rsidR="003F1D04">
        <w:rPr>
          <w:rFonts w:ascii="Arial" w:hAnsi="Arial" w:cs="Arial"/>
          <w:sz w:val="20"/>
          <w:szCs w:val="20"/>
        </w:rPr>
        <w:t xml:space="preserve"> open the door to </w:t>
      </w:r>
      <w:r w:rsidR="00610275">
        <w:rPr>
          <w:rFonts w:ascii="Arial" w:hAnsi="Arial" w:cs="Arial"/>
          <w:sz w:val="20"/>
          <w:szCs w:val="20"/>
        </w:rPr>
        <w:t xml:space="preserve">public service </w:t>
      </w:r>
      <w:r w:rsidR="003F1D04">
        <w:rPr>
          <w:rFonts w:ascii="Arial" w:hAnsi="Arial" w:cs="Arial"/>
          <w:sz w:val="20"/>
          <w:szCs w:val="20"/>
        </w:rPr>
        <w:t xml:space="preserve">beliefs Parliament can </w:t>
      </w:r>
      <w:r w:rsidR="004C63B5">
        <w:rPr>
          <w:rFonts w:ascii="Arial" w:hAnsi="Arial" w:cs="Arial"/>
          <w:sz w:val="20"/>
          <w:szCs w:val="20"/>
        </w:rPr>
        <w:t xml:space="preserve">or should </w:t>
      </w:r>
      <w:r w:rsidR="003F1D04">
        <w:rPr>
          <w:rFonts w:ascii="Arial" w:hAnsi="Arial" w:cs="Arial"/>
          <w:sz w:val="20"/>
          <w:szCs w:val="20"/>
        </w:rPr>
        <w:t xml:space="preserve">be bypassed.  </w:t>
      </w:r>
    </w:p>
    <w:p w14:paraId="29946462" w14:textId="77777777" w:rsidR="00C535EA" w:rsidRDefault="00C535EA" w:rsidP="00716F69">
      <w:pPr>
        <w:spacing w:after="0" w:line="276" w:lineRule="auto"/>
        <w:rPr>
          <w:rFonts w:ascii="Arial" w:hAnsi="Arial" w:cs="Arial"/>
          <w:sz w:val="20"/>
          <w:szCs w:val="20"/>
        </w:rPr>
      </w:pPr>
    </w:p>
    <w:p w14:paraId="3A35CD66" w14:textId="6DAEF340" w:rsidR="003F1D04" w:rsidRDefault="004C63B5" w:rsidP="00716F69">
      <w:pPr>
        <w:spacing w:after="0" w:line="276" w:lineRule="auto"/>
        <w:rPr>
          <w:rFonts w:ascii="Arial" w:hAnsi="Arial" w:cs="Arial"/>
          <w:sz w:val="20"/>
          <w:szCs w:val="20"/>
        </w:rPr>
      </w:pPr>
      <w:r>
        <w:rPr>
          <w:rFonts w:ascii="Arial" w:hAnsi="Arial" w:cs="Arial"/>
          <w:sz w:val="20"/>
          <w:szCs w:val="20"/>
        </w:rPr>
        <w:t>Officials</w:t>
      </w:r>
      <w:r w:rsidR="003F1D04">
        <w:rPr>
          <w:rFonts w:ascii="Arial" w:hAnsi="Arial" w:cs="Arial"/>
          <w:sz w:val="20"/>
          <w:szCs w:val="20"/>
        </w:rPr>
        <w:t xml:space="preserve"> may feel they know better than Parliamentari</w:t>
      </w:r>
      <w:r>
        <w:rPr>
          <w:rFonts w:ascii="Arial" w:hAnsi="Arial" w:cs="Arial"/>
          <w:sz w:val="20"/>
          <w:szCs w:val="20"/>
        </w:rPr>
        <w:t>ans</w:t>
      </w:r>
      <w:r w:rsidR="00593638">
        <w:rPr>
          <w:rFonts w:ascii="Arial" w:hAnsi="Arial" w:cs="Arial"/>
          <w:sz w:val="20"/>
          <w:szCs w:val="20"/>
        </w:rPr>
        <w:t>.  S</w:t>
      </w:r>
      <w:r>
        <w:rPr>
          <w:rFonts w:ascii="Arial" w:hAnsi="Arial" w:cs="Arial"/>
          <w:sz w:val="20"/>
          <w:szCs w:val="20"/>
        </w:rPr>
        <w:t xml:space="preserve">uch feelings </w:t>
      </w:r>
      <w:r w:rsidR="003F1D04">
        <w:rPr>
          <w:rFonts w:ascii="Arial" w:hAnsi="Arial" w:cs="Arial"/>
          <w:sz w:val="20"/>
          <w:szCs w:val="20"/>
        </w:rPr>
        <w:t xml:space="preserve">may </w:t>
      </w:r>
      <w:r>
        <w:rPr>
          <w:rFonts w:ascii="Arial" w:hAnsi="Arial" w:cs="Arial"/>
          <w:sz w:val="20"/>
          <w:szCs w:val="20"/>
        </w:rPr>
        <w:t xml:space="preserve">occasionally </w:t>
      </w:r>
      <w:r w:rsidR="003F1D04">
        <w:rPr>
          <w:rFonts w:ascii="Arial" w:hAnsi="Arial" w:cs="Arial"/>
          <w:sz w:val="20"/>
          <w:szCs w:val="20"/>
        </w:rPr>
        <w:t xml:space="preserve">be </w:t>
      </w:r>
      <w:r>
        <w:rPr>
          <w:rFonts w:ascii="Arial" w:hAnsi="Arial" w:cs="Arial"/>
          <w:sz w:val="20"/>
          <w:szCs w:val="20"/>
        </w:rPr>
        <w:t xml:space="preserve">justified.  However, Australia’s system of government has officials serving Parliament.  Their </w:t>
      </w:r>
      <w:r w:rsidR="00593638">
        <w:rPr>
          <w:rFonts w:ascii="Arial" w:hAnsi="Arial" w:cs="Arial"/>
          <w:sz w:val="20"/>
          <w:szCs w:val="20"/>
        </w:rPr>
        <w:t>obligations</w:t>
      </w:r>
      <w:r>
        <w:rPr>
          <w:rFonts w:ascii="Arial" w:hAnsi="Arial" w:cs="Arial"/>
          <w:sz w:val="20"/>
          <w:szCs w:val="20"/>
        </w:rPr>
        <w:t xml:space="preserve"> to Parliament </w:t>
      </w:r>
      <w:r w:rsidR="00610275">
        <w:rPr>
          <w:rFonts w:ascii="Arial" w:hAnsi="Arial" w:cs="Arial"/>
          <w:sz w:val="20"/>
          <w:szCs w:val="20"/>
        </w:rPr>
        <w:t xml:space="preserve">are </w:t>
      </w:r>
      <w:r>
        <w:rPr>
          <w:rFonts w:ascii="Arial" w:hAnsi="Arial" w:cs="Arial"/>
          <w:sz w:val="20"/>
          <w:szCs w:val="20"/>
        </w:rPr>
        <w:t xml:space="preserve">either direct in the case of </w:t>
      </w:r>
      <w:r w:rsidR="00C535EA">
        <w:rPr>
          <w:rFonts w:ascii="Arial" w:hAnsi="Arial" w:cs="Arial"/>
          <w:sz w:val="20"/>
          <w:szCs w:val="20"/>
        </w:rPr>
        <w:t xml:space="preserve">appointees and </w:t>
      </w:r>
      <w:r>
        <w:rPr>
          <w:rFonts w:ascii="Arial" w:hAnsi="Arial" w:cs="Arial"/>
          <w:sz w:val="20"/>
          <w:szCs w:val="20"/>
        </w:rPr>
        <w:t xml:space="preserve">employees of Statutory Authorities or indirect in the case of Departmental </w:t>
      </w:r>
      <w:r w:rsidR="00C535EA">
        <w:rPr>
          <w:rFonts w:ascii="Arial" w:hAnsi="Arial" w:cs="Arial"/>
          <w:sz w:val="20"/>
          <w:szCs w:val="20"/>
        </w:rPr>
        <w:t xml:space="preserve">heads and </w:t>
      </w:r>
      <w:r>
        <w:rPr>
          <w:rFonts w:ascii="Arial" w:hAnsi="Arial" w:cs="Arial"/>
          <w:sz w:val="20"/>
          <w:szCs w:val="20"/>
        </w:rPr>
        <w:t>employees</w:t>
      </w:r>
      <w:r w:rsidR="00C535EA">
        <w:rPr>
          <w:rFonts w:ascii="Arial" w:hAnsi="Arial" w:cs="Arial"/>
          <w:sz w:val="20"/>
          <w:szCs w:val="20"/>
        </w:rPr>
        <w:t>.</w:t>
      </w:r>
      <w:r w:rsidR="003F1D04">
        <w:rPr>
          <w:rFonts w:ascii="Arial" w:hAnsi="Arial" w:cs="Arial"/>
          <w:sz w:val="20"/>
          <w:szCs w:val="20"/>
        </w:rPr>
        <w:t xml:space="preserve">  </w:t>
      </w:r>
    </w:p>
    <w:p w14:paraId="4724A4AF" w14:textId="2C7C5E2E" w:rsidR="00083B0C" w:rsidRPr="000833FA" w:rsidRDefault="00BC5E69" w:rsidP="00716F69">
      <w:pPr>
        <w:spacing w:after="0" w:line="276" w:lineRule="auto"/>
        <w:rPr>
          <w:rFonts w:ascii="Arial" w:hAnsi="Arial" w:cs="Arial"/>
          <w:sz w:val="20"/>
          <w:szCs w:val="20"/>
        </w:rPr>
      </w:pPr>
      <w:r w:rsidRPr="000833FA">
        <w:rPr>
          <w:rFonts w:ascii="Arial" w:hAnsi="Arial" w:cs="Arial"/>
          <w:sz w:val="20"/>
          <w:szCs w:val="20"/>
        </w:rPr>
        <w:t xml:space="preserve">  </w:t>
      </w:r>
    </w:p>
    <w:p w14:paraId="3843FCAE" w14:textId="00E7D7A8" w:rsidR="00AA7D85" w:rsidRPr="000833FA" w:rsidRDefault="00C535EA" w:rsidP="00716F69">
      <w:pPr>
        <w:spacing w:after="0" w:line="276" w:lineRule="auto"/>
        <w:rPr>
          <w:rFonts w:ascii="Arial" w:hAnsi="Arial" w:cs="Arial"/>
          <w:sz w:val="20"/>
          <w:szCs w:val="20"/>
        </w:rPr>
      </w:pPr>
      <w:r>
        <w:rPr>
          <w:rFonts w:ascii="Arial" w:hAnsi="Arial" w:cs="Arial"/>
          <w:sz w:val="20"/>
          <w:szCs w:val="20"/>
        </w:rPr>
        <w:t xml:space="preserve">Similarly </w:t>
      </w:r>
      <w:r w:rsidR="008973C5">
        <w:rPr>
          <w:rFonts w:ascii="Arial" w:hAnsi="Arial" w:cs="Arial"/>
          <w:sz w:val="20"/>
          <w:szCs w:val="20"/>
        </w:rPr>
        <w:t>worry</w:t>
      </w:r>
      <w:r>
        <w:rPr>
          <w:rFonts w:ascii="Arial" w:hAnsi="Arial" w:cs="Arial"/>
          <w:sz w:val="20"/>
          <w:szCs w:val="20"/>
        </w:rPr>
        <w:t>ing is a view t</w:t>
      </w:r>
      <w:r w:rsidR="00AA7D85" w:rsidRPr="000833FA">
        <w:rPr>
          <w:rFonts w:ascii="Arial" w:hAnsi="Arial" w:cs="Arial"/>
          <w:sz w:val="20"/>
          <w:szCs w:val="20"/>
        </w:rPr>
        <w:t>he Public Service is an institution in its own right</w:t>
      </w:r>
      <w:r>
        <w:rPr>
          <w:rFonts w:ascii="Arial" w:hAnsi="Arial" w:cs="Arial"/>
          <w:sz w:val="20"/>
          <w:szCs w:val="20"/>
        </w:rPr>
        <w:t xml:space="preserve">.  It is not.  It exists only because of, and </w:t>
      </w:r>
      <w:r w:rsidR="00D33BDA">
        <w:rPr>
          <w:rFonts w:ascii="Arial" w:hAnsi="Arial" w:cs="Arial"/>
          <w:sz w:val="20"/>
          <w:szCs w:val="20"/>
        </w:rPr>
        <w:t xml:space="preserve">for its members </w:t>
      </w:r>
      <w:r>
        <w:rPr>
          <w:rFonts w:ascii="Arial" w:hAnsi="Arial" w:cs="Arial"/>
          <w:sz w:val="20"/>
          <w:szCs w:val="20"/>
        </w:rPr>
        <w:t>only to serve, Parliament.  This would be the case without</w:t>
      </w:r>
      <w:r w:rsidR="00EF09AC" w:rsidRPr="000833FA">
        <w:rPr>
          <w:rFonts w:ascii="Arial" w:hAnsi="Arial" w:cs="Arial"/>
          <w:sz w:val="20"/>
          <w:szCs w:val="20"/>
        </w:rPr>
        <w:t xml:space="preserve"> t</w:t>
      </w:r>
      <w:r w:rsidR="007A7287" w:rsidRPr="000833FA">
        <w:rPr>
          <w:rFonts w:ascii="Arial" w:hAnsi="Arial" w:cs="Arial"/>
          <w:sz w:val="20"/>
          <w:szCs w:val="20"/>
        </w:rPr>
        <w:t>he Public Service Act</w:t>
      </w:r>
      <w:r w:rsidR="008B32A2" w:rsidRPr="000833FA">
        <w:rPr>
          <w:rFonts w:ascii="Arial" w:hAnsi="Arial" w:cs="Arial"/>
          <w:sz w:val="20"/>
          <w:szCs w:val="20"/>
        </w:rPr>
        <w:t xml:space="preserve">.  </w:t>
      </w:r>
      <w:r>
        <w:rPr>
          <w:rFonts w:ascii="Arial" w:hAnsi="Arial" w:cs="Arial"/>
          <w:sz w:val="20"/>
          <w:szCs w:val="20"/>
        </w:rPr>
        <w:t xml:space="preserve">That the Act may give rise to notions </w:t>
      </w:r>
      <w:r w:rsidR="00D33BDA">
        <w:rPr>
          <w:rFonts w:ascii="Arial" w:hAnsi="Arial" w:cs="Arial"/>
          <w:sz w:val="20"/>
          <w:szCs w:val="20"/>
        </w:rPr>
        <w:t xml:space="preserve">of institutional independence from Parliament </w:t>
      </w:r>
      <w:r>
        <w:rPr>
          <w:rFonts w:ascii="Arial" w:hAnsi="Arial" w:cs="Arial"/>
          <w:sz w:val="20"/>
          <w:szCs w:val="20"/>
        </w:rPr>
        <w:t>is sufficient reason for Parliament to revisit it.</w:t>
      </w:r>
    </w:p>
    <w:p w14:paraId="2188BC80" w14:textId="77777777" w:rsidR="00AA7D85" w:rsidRPr="000833FA" w:rsidRDefault="00AA7D85" w:rsidP="00716F69">
      <w:pPr>
        <w:spacing w:after="0" w:line="276" w:lineRule="auto"/>
        <w:rPr>
          <w:rFonts w:ascii="Arial" w:hAnsi="Arial" w:cs="Arial"/>
          <w:sz w:val="20"/>
          <w:szCs w:val="20"/>
        </w:rPr>
      </w:pPr>
    </w:p>
    <w:p w14:paraId="4C93EDB4" w14:textId="46F12A98" w:rsidR="004C63B5" w:rsidRDefault="00C535EA" w:rsidP="00716F69">
      <w:pPr>
        <w:spacing w:after="0" w:line="276" w:lineRule="auto"/>
        <w:rPr>
          <w:rFonts w:ascii="Arial" w:hAnsi="Arial" w:cs="Arial"/>
          <w:sz w:val="20"/>
          <w:szCs w:val="20"/>
        </w:rPr>
      </w:pPr>
      <w:r>
        <w:rPr>
          <w:rFonts w:ascii="Arial" w:hAnsi="Arial" w:cs="Arial"/>
          <w:sz w:val="20"/>
          <w:szCs w:val="20"/>
        </w:rPr>
        <w:t>Consideration</w:t>
      </w:r>
      <w:r w:rsidR="007A7287" w:rsidRPr="000833FA">
        <w:rPr>
          <w:rFonts w:ascii="Arial" w:hAnsi="Arial" w:cs="Arial"/>
          <w:sz w:val="20"/>
          <w:szCs w:val="20"/>
        </w:rPr>
        <w:t xml:space="preserve"> of </w:t>
      </w:r>
      <w:r>
        <w:rPr>
          <w:rFonts w:ascii="Arial" w:hAnsi="Arial" w:cs="Arial"/>
          <w:sz w:val="20"/>
          <w:szCs w:val="20"/>
        </w:rPr>
        <w:t>a</w:t>
      </w:r>
      <w:r w:rsidR="007A7287" w:rsidRPr="000833FA">
        <w:rPr>
          <w:rFonts w:ascii="Arial" w:hAnsi="Arial" w:cs="Arial"/>
          <w:sz w:val="20"/>
          <w:szCs w:val="20"/>
        </w:rPr>
        <w:t xml:space="preserve"> </w:t>
      </w:r>
      <w:r w:rsidR="006F5B21">
        <w:rPr>
          <w:rFonts w:ascii="Arial" w:hAnsi="Arial" w:cs="Arial"/>
          <w:sz w:val="20"/>
          <w:szCs w:val="20"/>
        </w:rPr>
        <w:t xml:space="preserve">future </w:t>
      </w:r>
      <w:r w:rsidR="007A7287" w:rsidRPr="000833FA">
        <w:rPr>
          <w:rFonts w:ascii="Arial" w:hAnsi="Arial" w:cs="Arial"/>
          <w:sz w:val="20"/>
          <w:szCs w:val="20"/>
        </w:rPr>
        <w:t xml:space="preserve">Service should begin with </w:t>
      </w:r>
      <w:r w:rsidR="00BC5E69" w:rsidRPr="000833FA">
        <w:rPr>
          <w:rFonts w:ascii="Arial" w:hAnsi="Arial" w:cs="Arial"/>
          <w:sz w:val="20"/>
          <w:szCs w:val="20"/>
        </w:rPr>
        <w:t>Australia’s federal democracy</w:t>
      </w:r>
      <w:r>
        <w:rPr>
          <w:rFonts w:ascii="Arial" w:hAnsi="Arial" w:cs="Arial"/>
          <w:sz w:val="20"/>
          <w:szCs w:val="20"/>
        </w:rPr>
        <w:t>.  W</w:t>
      </w:r>
      <w:r w:rsidR="004C63B5">
        <w:rPr>
          <w:rFonts w:ascii="Arial" w:hAnsi="Arial" w:cs="Arial"/>
          <w:sz w:val="20"/>
          <w:szCs w:val="20"/>
        </w:rPr>
        <w:t xml:space="preserve">hile Parliament and </w:t>
      </w:r>
      <w:r w:rsidR="00AE59EB" w:rsidRPr="000833FA">
        <w:rPr>
          <w:rFonts w:ascii="Arial" w:hAnsi="Arial" w:cs="Arial"/>
          <w:sz w:val="20"/>
          <w:szCs w:val="20"/>
        </w:rPr>
        <w:t xml:space="preserve">Executive </w:t>
      </w:r>
      <w:r w:rsidR="002E78EE" w:rsidRPr="000833FA">
        <w:rPr>
          <w:rFonts w:ascii="Arial" w:hAnsi="Arial" w:cs="Arial"/>
          <w:sz w:val="20"/>
          <w:szCs w:val="20"/>
        </w:rPr>
        <w:t>Government</w:t>
      </w:r>
      <w:r>
        <w:rPr>
          <w:rFonts w:ascii="Arial" w:hAnsi="Arial" w:cs="Arial"/>
          <w:sz w:val="20"/>
          <w:szCs w:val="20"/>
        </w:rPr>
        <w:t xml:space="preserve"> differ</w:t>
      </w:r>
      <w:r w:rsidR="004C63B5">
        <w:rPr>
          <w:rFonts w:ascii="Arial" w:hAnsi="Arial" w:cs="Arial"/>
          <w:sz w:val="20"/>
          <w:szCs w:val="20"/>
        </w:rPr>
        <w:t>, the former</w:t>
      </w:r>
      <w:r>
        <w:rPr>
          <w:rFonts w:ascii="Arial" w:hAnsi="Arial" w:cs="Arial"/>
          <w:sz w:val="20"/>
          <w:szCs w:val="20"/>
        </w:rPr>
        <w:t>’s</w:t>
      </w:r>
      <w:r w:rsidR="004C63B5">
        <w:rPr>
          <w:rFonts w:ascii="Arial" w:hAnsi="Arial" w:cs="Arial"/>
          <w:sz w:val="20"/>
          <w:szCs w:val="20"/>
        </w:rPr>
        <w:t xml:space="preserve"> power to control the latter</w:t>
      </w:r>
      <w:r>
        <w:rPr>
          <w:rFonts w:ascii="Arial" w:hAnsi="Arial" w:cs="Arial"/>
          <w:sz w:val="20"/>
          <w:szCs w:val="20"/>
        </w:rPr>
        <w:t xml:space="preserve"> needs recognition</w:t>
      </w:r>
      <w:r w:rsidR="004C63B5">
        <w:rPr>
          <w:rFonts w:ascii="Arial" w:hAnsi="Arial" w:cs="Arial"/>
          <w:sz w:val="20"/>
          <w:szCs w:val="20"/>
        </w:rPr>
        <w:t xml:space="preserve">.  </w:t>
      </w:r>
    </w:p>
    <w:p w14:paraId="0914BB18" w14:textId="77777777" w:rsidR="004C63B5" w:rsidRDefault="004C63B5" w:rsidP="00716F69">
      <w:pPr>
        <w:spacing w:after="0" w:line="276" w:lineRule="auto"/>
        <w:rPr>
          <w:rFonts w:ascii="Arial" w:hAnsi="Arial" w:cs="Arial"/>
          <w:sz w:val="20"/>
          <w:szCs w:val="20"/>
        </w:rPr>
      </w:pPr>
    </w:p>
    <w:p w14:paraId="22622568" w14:textId="1AE1D62A" w:rsidR="006F5B21" w:rsidRDefault="00D33BDA" w:rsidP="00716F69">
      <w:pPr>
        <w:spacing w:after="0" w:line="276" w:lineRule="auto"/>
        <w:rPr>
          <w:rFonts w:ascii="Arial" w:hAnsi="Arial" w:cs="Arial"/>
          <w:sz w:val="20"/>
          <w:szCs w:val="20"/>
        </w:rPr>
      </w:pPr>
      <w:r>
        <w:rPr>
          <w:rFonts w:ascii="Arial" w:hAnsi="Arial" w:cs="Arial"/>
          <w:sz w:val="20"/>
          <w:szCs w:val="20"/>
        </w:rPr>
        <w:t xml:space="preserve">In the last few decades </w:t>
      </w:r>
      <w:r w:rsidR="00DF422F" w:rsidRPr="000833FA">
        <w:rPr>
          <w:rFonts w:ascii="Arial" w:hAnsi="Arial" w:cs="Arial"/>
          <w:sz w:val="20"/>
          <w:szCs w:val="20"/>
        </w:rPr>
        <w:t>Commonwealth Executive activity has change</w:t>
      </w:r>
      <w:r w:rsidR="00962B49" w:rsidRPr="000833FA">
        <w:rPr>
          <w:rFonts w:ascii="Arial" w:hAnsi="Arial" w:cs="Arial"/>
          <w:sz w:val="20"/>
          <w:szCs w:val="20"/>
        </w:rPr>
        <w:t>d</w:t>
      </w:r>
      <w:r w:rsidR="001A1674" w:rsidRPr="000833FA">
        <w:rPr>
          <w:rFonts w:ascii="Arial" w:hAnsi="Arial" w:cs="Arial"/>
          <w:sz w:val="20"/>
          <w:szCs w:val="20"/>
        </w:rPr>
        <w:t xml:space="preserve"> </w:t>
      </w:r>
      <w:r>
        <w:rPr>
          <w:rFonts w:ascii="Arial" w:hAnsi="Arial" w:cs="Arial"/>
          <w:sz w:val="20"/>
          <w:szCs w:val="20"/>
        </w:rPr>
        <w:t>in scope and</w:t>
      </w:r>
      <w:r w:rsidR="00DF422F" w:rsidRPr="000833FA">
        <w:rPr>
          <w:rFonts w:ascii="Arial" w:hAnsi="Arial" w:cs="Arial"/>
          <w:sz w:val="20"/>
          <w:szCs w:val="20"/>
        </w:rPr>
        <w:t xml:space="preserve"> </w:t>
      </w:r>
      <w:r w:rsidR="004C63B5">
        <w:rPr>
          <w:rFonts w:ascii="Arial" w:hAnsi="Arial" w:cs="Arial"/>
          <w:sz w:val="20"/>
          <w:szCs w:val="20"/>
        </w:rPr>
        <w:t>direction</w:t>
      </w:r>
      <w:r w:rsidR="00DF422F" w:rsidRPr="000833FA">
        <w:rPr>
          <w:rFonts w:ascii="Arial" w:hAnsi="Arial" w:cs="Arial"/>
          <w:sz w:val="20"/>
          <w:szCs w:val="20"/>
        </w:rPr>
        <w:t xml:space="preserve">.  </w:t>
      </w:r>
      <w:r>
        <w:rPr>
          <w:rFonts w:ascii="Arial" w:hAnsi="Arial" w:cs="Arial"/>
          <w:sz w:val="20"/>
          <w:szCs w:val="20"/>
        </w:rPr>
        <w:t>Recent r</w:t>
      </w:r>
      <w:r w:rsidR="00DF422F" w:rsidRPr="000833FA">
        <w:rPr>
          <w:rFonts w:ascii="Arial" w:hAnsi="Arial" w:cs="Arial"/>
          <w:sz w:val="20"/>
          <w:szCs w:val="20"/>
        </w:rPr>
        <w:t xml:space="preserve">ecognition </w:t>
      </w:r>
      <w:r w:rsidR="00FE39C7" w:rsidRPr="000833FA">
        <w:rPr>
          <w:rFonts w:ascii="Arial" w:hAnsi="Arial" w:cs="Arial"/>
          <w:sz w:val="20"/>
          <w:szCs w:val="20"/>
        </w:rPr>
        <w:t xml:space="preserve">that </w:t>
      </w:r>
      <w:r w:rsidR="00DF422F" w:rsidRPr="000833FA">
        <w:rPr>
          <w:rFonts w:ascii="Arial" w:hAnsi="Arial" w:cs="Arial"/>
          <w:sz w:val="20"/>
          <w:szCs w:val="20"/>
        </w:rPr>
        <w:t xml:space="preserve">some </w:t>
      </w:r>
      <w:r>
        <w:rPr>
          <w:rFonts w:ascii="Arial" w:hAnsi="Arial" w:cs="Arial"/>
          <w:sz w:val="20"/>
          <w:szCs w:val="20"/>
        </w:rPr>
        <w:t xml:space="preserve">extensions </w:t>
      </w:r>
      <w:r w:rsidR="007A7287" w:rsidRPr="000833FA">
        <w:rPr>
          <w:rFonts w:ascii="Arial" w:hAnsi="Arial" w:cs="Arial"/>
          <w:sz w:val="20"/>
          <w:szCs w:val="20"/>
        </w:rPr>
        <w:t>have been</w:t>
      </w:r>
      <w:r w:rsidR="00FE39C7" w:rsidRPr="000833FA">
        <w:rPr>
          <w:rFonts w:ascii="Arial" w:hAnsi="Arial" w:cs="Arial"/>
          <w:sz w:val="20"/>
          <w:szCs w:val="20"/>
        </w:rPr>
        <w:t xml:space="preserve"> unlawful </w:t>
      </w:r>
      <w:r w:rsidR="00DF422F" w:rsidRPr="000833FA">
        <w:rPr>
          <w:rFonts w:ascii="Arial" w:hAnsi="Arial" w:cs="Arial"/>
          <w:sz w:val="20"/>
          <w:szCs w:val="20"/>
        </w:rPr>
        <w:t xml:space="preserve">implies </w:t>
      </w:r>
      <w:r w:rsidR="006F5B21">
        <w:rPr>
          <w:rFonts w:ascii="Arial" w:hAnsi="Arial" w:cs="Arial"/>
          <w:sz w:val="20"/>
          <w:szCs w:val="20"/>
        </w:rPr>
        <w:t>some change</w:t>
      </w:r>
      <w:r>
        <w:rPr>
          <w:rFonts w:ascii="Arial" w:hAnsi="Arial" w:cs="Arial"/>
          <w:sz w:val="20"/>
          <w:szCs w:val="20"/>
        </w:rPr>
        <w:t xml:space="preserve"> w</w:t>
      </w:r>
      <w:r w:rsidR="008973C5">
        <w:rPr>
          <w:rFonts w:ascii="Arial" w:hAnsi="Arial" w:cs="Arial"/>
          <w:sz w:val="20"/>
          <w:szCs w:val="20"/>
        </w:rPr>
        <w:t>as</w:t>
      </w:r>
      <w:r w:rsidR="006F5B21">
        <w:rPr>
          <w:rFonts w:ascii="Arial" w:hAnsi="Arial" w:cs="Arial"/>
          <w:sz w:val="20"/>
          <w:szCs w:val="20"/>
        </w:rPr>
        <w:t xml:space="preserve"> </w:t>
      </w:r>
      <w:r w:rsidR="00DF422F" w:rsidRPr="000833FA">
        <w:rPr>
          <w:rFonts w:ascii="Arial" w:hAnsi="Arial" w:cs="Arial"/>
          <w:sz w:val="20"/>
          <w:szCs w:val="20"/>
        </w:rPr>
        <w:t>misdirect</w:t>
      </w:r>
      <w:r w:rsidR="006F5B21">
        <w:rPr>
          <w:rFonts w:ascii="Arial" w:hAnsi="Arial" w:cs="Arial"/>
          <w:sz w:val="20"/>
          <w:szCs w:val="20"/>
        </w:rPr>
        <w:t>ed</w:t>
      </w:r>
      <w:r w:rsidR="00DF422F" w:rsidRPr="000833FA">
        <w:rPr>
          <w:rFonts w:ascii="Arial" w:hAnsi="Arial" w:cs="Arial"/>
          <w:sz w:val="20"/>
          <w:szCs w:val="20"/>
        </w:rPr>
        <w:t>.</w:t>
      </w:r>
      <w:r w:rsidR="006F5B21">
        <w:rPr>
          <w:rFonts w:ascii="Arial" w:hAnsi="Arial" w:cs="Arial"/>
          <w:sz w:val="20"/>
          <w:szCs w:val="20"/>
        </w:rPr>
        <w:t xml:space="preserve">  </w:t>
      </w:r>
      <w:r>
        <w:rPr>
          <w:rFonts w:ascii="Arial" w:hAnsi="Arial" w:cs="Arial"/>
          <w:sz w:val="20"/>
          <w:szCs w:val="20"/>
        </w:rPr>
        <w:t>Necessary r</w:t>
      </w:r>
      <w:r w:rsidR="00DF422F" w:rsidRPr="000833FA">
        <w:rPr>
          <w:rFonts w:ascii="Arial" w:hAnsi="Arial" w:cs="Arial"/>
          <w:sz w:val="20"/>
          <w:szCs w:val="20"/>
        </w:rPr>
        <w:t xml:space="preserve">edirection </w:t>
      </w:r>
      <w:r w:rsidR="00864D3E" w:rsidRPr="000833FA">
        <w:rPr>
          <w:rFonts w:ascii="Arial" w:hAnsi="Arial" w:cs="Arial"/>
          <w:sz w:val="20"/>
          <w:szCs w:val="20"/>
        </w:rPr>
        <w:t>of activit</w:t>
      </w:r>
      <w:r>
        <w:rPr>
          <w:rFonts w:ascii="Arial" w:hAnsi="Arial" w:cs="Arial"/>
          <w:sz w:val="20"/>
          <w:szCs w:val="20"/>
        </w:rPr>
        <w:t>y</w:t>
      </w:r>
      <w:r w:rsidR="00864D3E" w:rsidRPr="000833FA">
        <w:rPr>
          <w:rFonts w:ascii="Arial" w:hAnsi="Arial" w:cs="Arial"/>
          <w:sz w:val="20"/>
          <w:szCs w:val="20"/>
        </w:rPr>
        <w:t xml:space="preserve"> </w:t>
      </w:r>
      <w:r w:rsidR="008973C5">
        <w:rPr>
          <w:rFonts w:ascii="Arial" w:hAnsi="Arial" w:cs="Arial"/>
          <w:sz w:val="20"/>
          <w:szCs w:val="20"/>
        </w:rPr>
        <w:t>requires</w:t>
      </w:r>
      <w:r w:rsidR="00864D3E" w:rsidRPr="000833FA">
        <w:rPr>
          <w:rFonts w:ascii="Arial" w:hAnsi="Arial" w:cs="Arial"/>
          <w:sz w:val="20"/>
          <w:szCs w:val="20"/>
        </w:rPr>
        <w:t xml:space="preserve"> re-definition of </w:t>
      </w:r>
      <w:r w:rsidR="006F5B21">
        <w:rPr>
          <w:rFonts w:ascii="Arial" w:hAnsi="Arial" w:cs="Arial"/>
          <w:sz w:val="20"/>
          <w:szCs w:val="20"/>
        </w:rPr>
        <w:t xml:space="preserve">some </w:t>
      </w:r>
      <w:r w:rsidR="00DF422F" w:rsidRPr="000833FA">
        <w:rPr>
          <w:rFonts w:ascii="Arial" w:hAnsi="Arial" w:cs="Arial"/>
          <w:sz w:val="20"/>
          <w:szCs w:val="20"/>
        </w:rPr>
        <w:t>public serv</w:t>
      </w:r>
      <w:r w:rsidR="00864D3E" w:rsidRPr="000833FA">
        <w:rPr>
          <w:rFonts w:ascii="Arial" w:hAnsi="Arial" w:cs="Arial"/>
          <w:sz w:val="20"/>
          <w:szCs w:val="20"/>
        </w:rPr>
        <w:t>ice</w:t>
      </w:r>
      <w:r w:rsidR="00DF422F" w:rsidRPr="000833FA">
        <w:rPr>
          <w:rFonts w:ascii="Arial" w:hAnsi="Arial" w:cs="Arial"/>
          <w:sz w:val="20"/>
          <w:szCs w:val="20"/>
        </w:rPr>
        <w:t xml:space="preserve"> roles</w:t>
      </w:r>
      <w:r w:rsidR="00864D3E" w:rsidRPr="000833FA">
        <w:rPr>
          <w:rFonts w:ascii="Arial" w:hAnsi="Arial" w:cs="Arial"/>
          <w:sz w:val="20"/>
          <w:szCs w:val="20"/>
        </w:rPr>
        <w:t xml:space="preserve">.  </w:t>
      </w:r>
    </w:p>
    <w:p w14:paraId="3A6D3B4A" w14:textId="77777777" w:rsidR="006F5B21" w:rsidRDefault="006F5B21" w:rsidP="00716F69">
      <w:pPr>
        <w:spacing w:after="0" w:line="276" w:lineRule="auto"/>
        <w:rPr>
          <w:rFonts w:ascii="Arial" w:hAnsi="Arial" w:cs="Arial"/>
          <w:sz w:val="20"/>
          <w:szCs w:val="20"/>
        </w:rPr>
      </w:pPr>
    </w:p>
    <w:p w14:paraId="0BE1DEBD" w14:textId="1EFE6318" w:rsidR="00864D3E" w:rsidRDefault="00D33BDA" w:rsidP="00716F69">
      <w:pPr>
        <w:spacing w:after="0" w:line="276" w:lineRule="auto"/>
        <w:rPr>
          <w:rFonts w:ascii="Arial" w:hAnsi="Arial" w:cs="Arial"/>
          <w:sz w:val="20"/>
          <w:szCs w:val="20"/>
        </w:rPr>
      </w:pPr>
      <w:r>
        <w:rPr>
          <w:rFonts w:ascii="Arial" w:hAnsi="Arial" w:cs="Arial"/>
          <w:sz w:val="20"/>
          <w:szCs w:val="20"/>
        </w:rPr>
        <w:lastRenderedPageBreak/>
        <w:t>R</w:t>
      </w:r>
      <w:r w:rsidR="00864D3E" w:rsidRPr="000833FA">
        <w:rPr>
          <w:rFonts w:ascii="Arial" w:hAnsi="Arial" w:cs="Arial"/>
          <w:sz w:val="20"/>
          <w:szCs w:val="20"/>
        </w:rPr>
        <w:t xml:space="preserve">e-definition must involve more </w:t>
      </w:r>
      <w:r w:rsidR="004D430F" w:rsidRPr="000833FA">
        <w:rPr>
          <w:rFonts w:ascii="Arial" w:hAnsi="Arial" w:cs="Arial"/>
          <w:sz w:val="20"/>
          <w:szCs w:val="20"/>
        </w:rPr>
        <w:t>precise</w:t>
      </w:r>
      <w:r w:rsidR="00864D3E" w:rsidRPr="000833FA">
        <w:rPr>
          <w:rFonts w:ascii="Arial" w:hAnsi="Arial" w:cs="Arial"/>
          <w:sz w:val="20"/>
          <w:szCs w:val="20"/>
        </w:rPr>
        <w:t xml:space="preserve"> roles</w:t>
      </w:r>
      <w:r w:rsidR="002E78EE" w:rsidRPr="000833FA">
        <w:rPr>
          <w:rFonts w:ascii="Arial" w:hAnsi="Arial" w:cs="Arial"/>
          <w:sz w:val="20"/>
          <w:szCs w:val="20"/>
        </w:rPr>
        <w:t xml:space="preserve">.  </w:t>
      </w:r>
      <w:r>
        <w:rPr>
          <w:rFonts w:ascii="Arial" w:hAnsi="Arial" w:cs="Arial"/>
          <w:sz w:val="20"/>
          <w:szCs w:val="20"/>
        </w:rPr>
        <w:t>It</w:t>
      </w:r>
      <w:r w:rsidR="002E78EE" w:rsidRPr="000833FA">
        <w:rPr>
          <w:rFonts w:ascii="Arial" w:hAnsi="Arial" w:cs="Arial"/>
          <w:sz w:val="20"/>
          <w:szCs w:val="20"/>
        </w:rPr>
        <w:t xml:space="preserve"> need</w:t>
      </w:r>
      <w:r>
        <w:rPr>
          <w:rFonts w:ascii="Arial" w:hAnsi="Arial" w:cs="Arial"/>
          <w:sz w:val="20"/>
          <w:szCs w:val="20"/>
        </w:rPr>
        <w:t>s</w:t>
      </w:r>
      <w:r w:rsidR="002E78EE" w:rsidRPr="000833FA">
        <w:rPr>
          <w:rFonts w:ascii="Arial" w:hAnsi="Arial" w:cs="Arial"/>
          <w:sz w:val="20"/>
          <w:szCs w:val="20"/>
        </w:rPr>
        <w:t xml:space="preserve"> to recognise </w:t>
      </w:r>
      <w:r w:rsidR="00C30924" w:rsidRPr="000833FA">
        <w:rPr>
          <w:rFonts w:ascii="Arial" w:hAnsi="Arial" w:cs="Arial"/>
          <w:sz w:val="20"/>
          <w:szCs w:val="20"/>
        </w:rPr>
        <w:t>differen</w:t>
      </w:r>
      <w:r w:rsidR="002E78EE" w:rsidRPr="000833FA">
        <w:rPr>
          <w:rFonts w:ascii="Arial" w:hAnsi="Arial" w:cs="Arial"/>
          <w:sz w:val="20"/>
          <w:szCs w:val="20"/>
        </w:rPr>
        <w:t>ces</w:t>
      </w:r>
      <w:r w:rsidR="00C30924" w:rsidRPr="000833FA">
        <w:rPr>
          <w:rFonts w:ascii="Arial" w:hAnsi="Arial" w:cs="Arial"/>
          <w:sz w:val="20"/>
          <w:szCs w:val="20"/>
        </w:rPr>
        <w:t xml:space="preserve"> between </w:t>
      </w:r>
      <w:r w:rsidR="002E78EE" w:rsidRPr="000833FA">
        <w:rPr>
          <w:rFonts w:ascii="Arial" w:hAnsi="Arial" w:cs="Arial"/>
          <w:sz w:val="20"/>
          <w:szCs w:val="20"/>
        </w:rPr>
        <w:t xml:space="preserve">matters for </w:t>
      </w:r>
      <w:r w:rsidR="00C30924" w:rsidRPr="000833FA">
        <w:rPr>
          <w:rFonts w:ascii="Arial" w:hAnsi="Arial" w:cs="Arial"/>
          <w:sz w:val="20"/>
          <w:szCs w:val="20"/>
        </w:rPr>
        <w:t xml:space="preserve">Executive </w:t>
      </w:r>
      <w:r w:rsidR="002E78EE" w:rsidRPr="000833FA">
        <w:rPr>
          <w:rFonts w:ascii="Arial" w:hAnsi="Arial" w:cs="Arial"/>
          <w:sz w:val="20"/>
          <w:szCs w:val="20"/>
        </w:rPr>
        <w:t>Government</w:t>
      </w:r>
      <w:r w:rsidR="00C30924" w:rsidRPr="000833FA">
        <w:rPr>
          <w:rFonts w:ascii="Arial" w:hAnsi="Arial" w:cs="Arial"/>
          <w:sz w:val="20"/>
          <w:szCs w:val="20"/>
        </w:rPr>
        <w:t xml:space="preserve"> and matters reserved to Parliament</w:t>
      </w:r>
      <w:r>
        <w:rPr>
          <w:rFonts w:ascii="Arial" w:hAnsi="Arial" w:cs="Arial"/>
          <w:sz w:val="20"/>
          <w:szCs w:val="20"/>
        </w:rPr>
        <w:t>.  The latter includes significant aspects of Commonwealth-State relations</w:t>
      </w:r>
      <w:r w:rsidR="00864D3E" w:rsidRPr="000833FA">
        <w:rPr>
          <w:rFonts w:ascii="Arial" w:hAnsi="Arial" w:cs="Arial"/>
          <w:sz w:val="20"/>
          <w:szCs w:val="20"/>
        </w:rPr>
        <w:t>.</w:t>
      </w:r>
    </w:p>
    <w:p w14:paraId="202C4A8A" w14:textId="77777777" w:rsidR="00670314" w:rsidRPr="000833FA" w:rsidRDefault="00670314" w:rsidP="00716F69">
      <w:pPr>
        <w:spacing w:after="0" w:line="276" w:lineRule="auto"/>
        <w:rPr>
          <w:rFonts w:ascii="Arial" w:hAnsi="Arial" w:cs="Arial"/>
          <w:sz w:val="20"/>
          <w:szCs w:val="20"/>
        </w:rPr>
      </w:pPr>
    </w:p>
    <w:p w14:paraId="3021830E" w14:textId="1DC81C84" w:rsidR="00355C0F" w:rsidRDefault="00B4337B" w:rsidP="00716F69">
      <w:pPr>
        <w:spacing w:after="0" w:line="276" w:lineRule="auto"/>
        <w:rPr>
          <w:rFonts w:ascii="Arial" w:hAnsi="Arial" w:cs="Arial"/>
          <w:sz w:val="20"/>
          <w:szCs w:val="20"/>
        </w:rPr>
      </w:pPr>
      <w:r w:rsidRPr="000833FA">
        <w:rPr>
          <w:rFonts w:ascii="Arial" w:hAnsi="Arial" w:cs="Arial"/>
          <w:sz w:val="20"/>
          <w:szCs w:val="20"/>
        </w:rPr>
        <w:t xml:space="preserve">Regarding governance, </w:t>
      </w:r>
      <w:r w:rsidR="002E78EE" w:rsidRPr="000833FA">
        <w:rPr>
          <w:rFonts w:ascii="Arial" w:hAnsi="Arial" w:cs="Arial"/>
          <w:sz w:val="20"/>
          <w:szCs w:val="20"/>
        </w:rPr>
        <w:t>despite</w:t>
      </w:r>
      <w:r w:rsidR="001A1674" w:rsidRPr="000833FA">
        <w:rPr>
          <w:rFonts w:ascii="Arial" w:hAnsi="Arial" w:cs="Arial"/>
          <w:sz w:val="20"/>
          <w:szCs w:val="20"/>
        </w:rPr>
        <w:t xml:space="preserve"> extensive </w:t>
      </w:r>
      <w:r w:rsidR="002E78EE" w:rsidRPr="000833FA">
        <w:rPr>
          <w:rFonts w:ascii="Arial" w:hAnsi="Arial" w:cs="Arial"/>
          <w:sz w:val="20"/>
          <w:szCs w:val="20"/>
        </w:rPr>
        <w:t>writings</w:t>
      </w:r>
      <w:r w:rsidR="001A1674" w:rsidRPr="000833FA">
        <w:rPr>
          <w:rFonts w:ascii="Arial" w:hAnsi="Arial" w:cs="Arial"/>
          <w:sz w:val="20"/>
          <w:szCs w:val="20"/>
        </w:rPr>
        <w:t xml:space="preserve">, </w:t>
      </w:r>
      <w:r w:rsidR="0038312B">
        <w:rPr>
          <w:rFonts w:ascii="Arial" w:hAnsi="Arial" w:cs="Arial"/>
          <w:sz w:val="20"/>
          <w:szCs w:val="20"/>
        </w:rPr>
        <w:t xml:space="preserve">Australian Public Service </w:t>
      </w:r>
      <w:r w:rsidR="004D430F" w:rsidRPr="000833FA">
        <w:rPr>
          <w:rFonts w:ascii="Arial" w:hAnsi="Arial" w:cs="Arial"/>
          <w:sz w:val="20"/>
          <w:szCs w:val="20"/>
        </w:rPr>
        <w:t>app</w:t>
      </w:r>
      <w:r w:rsidR="001A1674" w:rsidRPr="000833FA">
        <w:rPr>
          <w:rFonts w:ascii="Arial" w:hAnsi="Arial" w:cs="Arial"/>
          <w:sz w:val="20"/>
          <w:szCs w:val="20"/>
        </w:rPr>
        <w:t xml:space="preserve">reciation </w:t>
      </w:r>
      <w:r w:rsidR="002E78EE" w:rsidRPr="000833FA">
        <w:rPr>
          <w:rFonts w:ascii="Arial" w:hAnsi="Arial" w:cs="Arial"/>
          <w:sz w:val="20"/>
          <w:szCs w:val="20"/>
        </w:rPr>
        <w:t xml:space="preserve">and application </w:t>
      </w:r>
      <w:r w:rsidR="001A1674" w:rsidRPr="000833FA">
        <w:rPr>
          <w:rFonts w:ascii="Arial" w:hAnsi="Arial" w:cs="Arial"/>
          <w:sz w:val="20"/>
          <w:szCs w:val="20"/>
        </w:rPr>
        <w:t xml:space="preserve">of </w:t>
      </w:r>
      <w:r w:rsidR="00FE39C7" w:rsidRPr="000833FA">
        <w:rPr>
          <w:rFonts w:ascii="Arial" w:hAnsi="Arial" w:cs="Arial"/>
          <w:sz w:val="20"/>
          <w:szCs w:val="20"/>
        </w:rPr>
        <w:t xml:space="preserve">underlying </w:t>
      </w:r>
      <w:r w:rsidR="001A1674" w:rsidRPr="000833FA">
        <w:rPr>
          <w:rFonts w:ascii="Arial" w:hAnsi="Arial" w:cs="Arial"/>
          <w:sz w:val="20"/>
          <w:szCs w:val="20"/>
        </w:rPr>
        <w:t xml:space="preserve">principles </w:t>
      </w:r>
      <w:r w:rsidR="008C284F" w:rsidRPr="000833FA">
        <w:rPr>
          <w:rFonts w:ascii="Arial" w:hAnsi="Arial" w:cs="Arial"/>
          <w:sz w:val="20"/>
          <w:szCs w:val="20"/>
        </w:rPr>
        <w:t>appears to be</w:t>
      </w:r>
      <w:r w:rsidR="001A1674" w:rsidRPr="000833FA">
        <w:rPr>
          <w:rFonts w:ascii="Arial" w:hAnsi="Arial" w:cs="Arial"/>
          <w:sz w:val="20"/>
          <w:szCs w:val="20"/>
        </w:rPr>
        <w:t xml:space="preserve"> limited.</w:t>
      </w:r>
      <w:r w:rsidR="009C63B5" w:rsidRPr="000833FA">
        <w:rPr>
          <w:rFonts w:ascii="Arial" w:hAnsi="Arial" w:cs="Arial"/>
          <w:sz w:val="20"/>
          <w:szCs w:val="20"/>
        </w:rPr>
        <w:t xml:space="preserve">  </w:t>
      </w:r>
      <w:r w:rsidR="00355C0F" w:rsidRPr="000833FA">
        <w:rPr>
          <w:rFonts w:ascii="Arial" w:hAnsi="Arial" w:cs="Arial"/>
          <w:sz w:val="20"/>
          <w:szCs w:val="20"/>
        </w:rPr>
        <w:t>Sophistry is evident.</w:t>
      </w:r>
    </w:p>
    <w:p w14:paraId="1D2276E3" w14:textId="77777777" w:rsidR="0057271E" w:rsidRPr="000833FA" w:rsidRDefault="0057271E" w:rsidP="00716F69">
      <w:pPr>
        <w:spacing w:after="0" w:line="276" w:lineRule="auto"/>
        <w:rPr>
          <w:rFonts w:ascii="Arial" w:hAnsi="Arial" w:cs="Arial"/>
          <w:sz w:val="20"/>
          <w:szCs w:val="20"/>
        </w:rPr>
      </w:pPr>
    </w:p>
    <w:p w14:paraId="7A17F7C4" w14:textId="607A1BE1" w:rsidR="008B32A2" w:rsidRPr="000833FA" w:rsidRDefault="008C284F" w:rsidP="00716F69">
      <w:pPr>
        <w:spacing w:after="0" w:line="276" w:lineRule="auto"/>
        <w:rPr>
          <w:rFonts w:ascii="Arial" w:hAnsi="Arial" w:cs="Arial"/>
          <w:sz w:val="20"/>
          <w:szCs w:val="20"/>
        </w:rPr>
      </w:pPr>
      <w:r w:rsidRPr="000833FA">
        <w:rPr>
          <w:rFonts w:ascii="Arial" w:hAnsi="Arial" w:cs="Arial"/>
          <w:sz w:val="20"/>
          <w:szCs w:val="20"/>
        </w:rPr>
        <w:t>For example,</w:t>
      </w:r>
      <w:r w:rsidR="00175C61" w:rsidRPr="000833FA">
        <w:rPr>
          <w:rFonts w:ascii="Arial" w:hAnsi="Arial" w:cs="Arial"/>
          <w:sz w:val="20"/>
          <w:szCs w:val="20"/>
        </w:rPr>
        <w:t xml:space="preserve"> </w:t>
      </w:r>
      <w:r w:rsidR="00866F0C" w:rsidRPr="000833FA">
        <w:rPr>
          <w:rFonts w:ascii="Arial" w:hAnsi="Arial" w:cs="Arial"/>
          <w:sz w:val="20"/>
          <w:szCs w:val="20"/>
        </w:rPr>
        <w:t xml:space="preserve">the </w:t>
      </w:r>
      <w:r w:rsidR="00175C61" w:rsidRPr="000833FA">
        <w:rPr>
          <w:rFonts w:ascii="Arial" w:hAnsi="Arial" w:cs="Arial"/>
          <w:sz w:val="20"/>
          <w:szCs w:val="20"/>
        </w:rPr>
        <w:t xml:space="preserve">current practice of senior officials sitting on ‘boards’ of what some consider lobby groups </w:t>
      </w:r>
      <w:r w:rsidR="0038312B">
        <w:rPr>
          <w:rFonts w:ascii="Arial" w:hAnsi="Arial" w:cs="Arial"/>
          <w:sz w:val="20"/>
          <w:szCs w:val="20"/>
        </w:rPr>
        <w:t>is</w:t>
      </w:r>
      <w:r w:rsidR="00610275">
        <w:rPr>
          <w:rFonts w:ascii="Arial" w:hAnsi="Arial" w:cs="Arial"/>
          <w:sz w:val="20"/>
          <w:szCs w:val="20"/>
        </w:rPr>
        <w:t xml:space="preserve"> not proscribed by ‘guidelines’</w:t>
      </w:r>
      <w:r w:rsidR="0038312B">
        <w:rPr>
          <w:rFonts w:ascii="Arial" w:hAnsi="Arial" w:cs="Arial"/>
          <w:sz w:val="20"/>
          <w:szCs w:val="20"/>
        </w:rPr>
        <w:t>.  This might be compared</w:t>
      </w:r>
      <w:r w:rsidR="00610275">
        <w:rPr>
          <w:rFonts w:ascii="Arial" w:hAnsi="Arial" w:cs="Arial"/>
          <w:sz w:val="20"/>
          <w:szCs w:val="20"/>
        </w:rPr>
        <w:t xml:space="preserve"> </w:t>
      </w:r>
      <w:r w:rsidR="00175C61" w:rsidRPr="000833FA">
        <w:rPr>
          <w:rFonts w:ascii="Arial" w:hAnsi="Arial" w:cs="Arial"/>
          <w:sz w:val="20"/>
          <w:szCs w:val="20"/>
        </w:rPr>
        <w:t>with a</w:t>
      </w:r>
      <w:r w:rsidR="007A7287" w:rsidRPr="000833FA">
        <w:rPr>
          <w:rFonts w:ascii="Arial" w:hAnsi="Arial" w:cs="Arial"/>
          <w:sz w:val="20"/>
          <w:szCs w:val="20"/>
        </w:rPr>
        <w:t xml:space="preserve"> </w:t>
      </w:r>
      <w:r w:rsidR="008B32A2" w:rsidRPr="000833FA">
        <w:rPr>
          <w:rFonts w:ascii="Arial" w:hAnsi="Arial" w:cs="Arial"/>
          <w:sz w:val="20"/>
          <w:szCs w:val="20"/>
        </w:rPr>
        <w:t xml:space="preserve">comment from the </w:t>
      </w:r>
      <w:r w:rsidR="0038312B">
        <w:rPr>
          <w:rFonts w:ascii="Arial" w:hAnsi="Arial" w:cs="Arial"/>
          <w:sz w:val="20"/>
          <w:szCs w:val="20"/>
        </w:rPr>
        <w:t xml:space="preserve">commissioned paper on an </w:t>
      </w:r>
      <w:r w:rsidR="008B32A2" w:rsidRPr="000833FA">
        <w:rPr>
          <w:rFonts w:ascii="Arial" w:hAnsi="Arial" w:cs="Arial"/>
          <w:sz w:val="20"/>
          <w:szCs w:val="20"/>
        </w:rPr>
        <w:t>Integrity Framework:</w:t>
      </w:r>
    </w:p>
    <w:p w14:paraId="40EABF08" w14:textId="77777777" w:rsidR="008B32A2" w:rsidRPr="000833FA" w:rsidRDefault="008B32A2" w:rsidP="00716F69">
      <w:pPr>
        <w:spacing w:after="0" w:line="276" w:lineRule="auto"/>
        <w:rPr>
          <w:rFonts w:ascii="Arial" w:hAnsi="Arial" w:cs="Arial"/>
          <w:sz w:val="20"/>
          <w:szCs w:val="20"/>
        </w:rPr>
      </w:pPr>
    </w:p>
    <w:p w14:paraId="3A75C1A8" w14:textId="0283E5A3" w:rsidR="004D430F" w:rsidRPr="000833FA" w:rsidRDefault="008B32A2" w:rsidP="00716F69">
      <w:pPr>
        <w:spacing w:after="0" w:line="276" w:lineRule="auto"/>
        <w:ind w:left="720"/>
        <w:rPr>
          <w:rFonts w:ascii="Arial" w:hAnsi="Arial" w:cs="Arial"/>
          <w:i/>
          <w:sz w:val="20"/>
          <w:szCs w:val="20"/>
        </w:rPr>
      </w:pPr>
      <w:r w:rsidRPr="000833FA">
        <w:rPr>
          <w:rFonts w:ascii="Arial" w:hAnsi="Arial" w:cs="Arial"/>
          <w:i/>
          <w:sz w:val="20"/>
          <w:szCs w:val="20"/>
        </w:rPr>
        <w:t>‘</w:t>
      </w:r>
      <w:r w:rsidR="008C284F" w:rsidRPr="000833FA">
        <w:rPr>
          <w:rFonts w:ascii="Arial" w:hAnsi="Arial" w:cs="Arial"/>
          <w:i/>
          <w:sz w:val="20"/>
          <w:szCs w:val="20"/>
        </w:rPr>
        <w:t>The APS must also recognise that one of its greatest integrity threats is policy and regulatory capture. Public perception of ‘elites’, powerful interests or the familiar few, having privileged influence over public policy and administration will strongly erode public trust in the APS, its credibility and legitimacy.’</w:t>
      </w:r>
    </w:p>
    <w:p w14:paraId="66F43611" w14:textId="77777777" w:rsidR="008C284F" w:rsidRPr="000833FA" w:rsidRDefault="008C284F" w:rsidP="00716F69">
      <w:pPr>
        <w:spacing w:after="0" w:line="276" w:lineRule="auto"/>
        <w:rPr>
          <w:rFonts w:ascii="Arial" w:hAnsi="Arial" w:cs="Arial"/>
          <w:sz w:val="20"/>
          <w:szCs w:val="20"/>
        </w:rPr>
      </w:pPr>
    </w:p>
    <w:p w14:paraId="153D6620" w14:textId="15F640E1" w:rsidR="00355C0F" w:rsidRPr="000833FA" w:rsidRDefault="00175C61" w:rsidP="00716F69">
      <w:pPr>
        <w:spacing w:after="0" w:line="276" w:lineRule="auto"/>
        <w:rPr>
          <w:rFonts w:ascii="Arial" w:hAnsi="Arial" w:cs="Arial"/>
          <w:sz w:val="20"/>
          <w:szCs w:val="20"/>
        </w:rPr>
      </w:pPr>
      <w:r w:rsidRPr="000833FA">
        <w:rPr>
          <w:rFonts w:ascii="Arial" w:hAnsi="Arial" w:cs="Arial"/>
          <w:sz w:val="20"/>
          <w:szCs w:val="20"/>
        </w:rPr>
        <w:t xml:space="preserve">As </w:t>
      </w:r>
      <w:r w:rsidR="00A9481D" w:rsidRPr="000833FA">
        <w:rPr>
          <w:rFonts w:ascii="Arial" w:hAnsi="Arial" w:cs="Arial"/>
          <w:sz w:val="20"/>
          <w:szCs w:val="20"/>
        </w:rPr>
        <w:t>a</w:t>
      </w:r>
      <w:r w:rsidRPr="000833FA">
        <w:rPr>
          <w:rFonts w:ascii="Arial" w:hAnsi="Arial" w:cs="Arial"/>
          <w:sz w:val="20"/>
          <w:szCs w:val="20"/>
        </w:rPr>
        <w:t xml:space="preserve">nother </w:t>
      </w:r>
      <w:r w:rsidR="004D430F" w:rsidRPr="000833FA">
        <w:rPr>
          <w:rFonts w:ascii="Arial" w:hAnsi="Arial" w:cs="Arial"/>
          <w:sz w:val="20"/>
          <w:szCs w:val="20"/>
        </w:rPr>
        <w:t xml:space="preserve">example, arguments </w:t>
      </w:r>
      <w:r w:rsidR="00355C0F" w:rsidRPr="000833FA">
        <w:rPr>
          <w:rFonts w:ascii="Arial" w:hAnsi="Arial" w:cs="Arial"/>
          <w:sz w:val="20"/>
          <w:szCs w:val="20"/>
        </w:rPr>
        <w:t>(</w:t>
      </w:r>
      <w:r w:rsidR="00866F0C" w:rsidRPr="000833FA">
        <w:rPr>
          <w:rFonts w:ascii="Arial" w:hAnsi="Arial" w:cs="Arial"/>
          <w:sz w:val="20"/>
          <w:szCs w:val="20"/>
        </w:rPr>
        <w:t>for</w:t>
      </w:r>
      <w:r w:rsidR="004D430F" w:rsidRPr="000833FA">
        <w:rPr>
          <w:rFonts w:ascii="Arial" w:hAnsi="Arial" w:cs="Arial"/>
          <w:sz w:val="20"/>
          <w:szCs w:val="20"/>
        </w:rPr>
        <w:t xml:space="preserve"> </w:t>
      </w:r>
      <w:r w:rsidRPr="000833FA">
        <w:rPr>
          <w:rFonts w:ascii="Arial" w:hAnsi="Arial" w:cs="Arial"/>
          <w:sz w:val="20"/>
          <w:szCs w:val="20"/>
        </w:rPr>
        <w:t>legislation</w:t>
      </w:r>
      <w:r w:rsidR="00355C0F" w:rsidRPr="000833FA">
        <w:rPr>
          <w:rFonts w:ascii="Arial" w:hAnsi="Arial" w:cs="Arial"/>
          <w:sz w:val="20"/>
          <w:szCs w:val="20"/>
        </w:rPr>
        <w:t>)</w:t>
      </w:r>
      <w:r w:rsidRPr="000833FA">
        <w:rPr>
          <w:rFonts w:ascii="Arial" w:hAnsi="Arial" w:cs="Arial"/>
          <w:sz w:val="20"/>
          <w:szCs w:val="20"/>
        </w:rPr>
        <w:t xml:space="preserve"> </w:t>
      </w:r>
      <w:r w:rsidR="004D430F" w:rsidRPr="000833FA">
        <w:rPr>
          <w:rFonts w:ascii="Arial" w:hAnsi="Arial" w:cs="Arial"/>
          <w:sz w:val="20"/>
          <w:szCs w:val="20"/>
        </w:rPr>
        <w:t xml:space="preserve">to </w:t>
      </w:r>
      <w:r w:rsidR="00355C0F" w:rsidRPr="000833FA">
        <w:rPr>
          <w:rFonts w:ascii="Arial" w:hAnsi="Arial" w:cs="Arial"/>
          <w:sz w:val="20"/>
          <w:szCs w:val="20"/>
        </w:rPr>
        <w:t xml:space="preserve">further </w:t>
      </w:r>
      <w:r w:rsidR="004D430F" w:rsidRPr="000833FA">
        <w:rPr>
          <w:rFonts w:ascii="Arial" w:hAnsi="Arial" w:cs="Arial"/>
          <w:sz w:val="20"/>
          <w:szCs w:val="20"/>
        </w:rPr>
        <w:t xml:space="preserve">centralise </w:t>
      </w:r>
      <w:r w:rsidR="00C96314" w:rsidRPr="000833FA">
        <w:rPr>
          <w:rFonts w:ascii="Arial" w:hAnsi="Arial" w:cs="Arial"/>
          <w:sz w:val="20"/>
          <w:szCs w:val="20"/>
        </w:rPr>
        <w:t>control</w:t>
      </w:r>
      <w:r w:rsidR="004D430F" w:rsidRPr="000833FA">
        <w:rPr>
          <w:rFonts w:ascii="Arial" w:hAnsi="Arial" w:cs="Arial"/>
          <w:sz w:val="20"/>
          <w:szCs w:val="20"/>
        </w:rPr>
        <w:t xml:space="preserve"> with Secretaries</w:t>
      </w:r>
      <w:r w:rsidR="00FE39C7" w:rsidRPr="000833FA">
        <w:rPr>
          <w:rFonts w:ascii="Arial" w:hAnsi="Arial" w:cs="Arial"/>
          <w:sz w:val="20"/>
          <w:szCs w:val="20"/>
        </w:rPr>
        <w:t xml:space="preserve"> or ce</w:t>
      </w:r>
      <w:r w:rsidR="006F7258" w:rsidRPr="000833FA">
        <w:rPr>
          <w:rFonts w:ascii="Arial" w:hAnsi="Arial" w:cs="Arial"/>
          <w:sz w:val="20"/>
          <w:szCs w:val="20"/>
        </w:rPr>
        <w:t>ntral</w:t>
      </w:r>
      <w:r w:rsidR="00FE39C7" w:rsidRPr="000833FA">
        <w:rPr>
          <w:rFonts w:ascii="Arial" w:hAnsi="Arial" w:cs="Arial"/>
          <w:sz w:val="20"/>
          <w:szCs w:val="20"/>
        </w:rPr>
        <w:t xml:space="preserve"> Department</w:t>
      </w:r>
      <w:r w:rsidR="00A9481D" w:rsidRPr="000833FA">
        <w:rPr>
          <w:rFonts w:ascii="Arial" w:hAnsi="Arial" w:cs="Arial"/>
          <w:sz w:val="20"/>
          <w:szCs w:val="20"/>
        </w:rPr>
        <w:t>s</w:t>
      </w:r>
      <w:r w:rsidR="004D430F" w:rsidRPr="000833FA">
        <w:rPr>
          <w:rFonts w:ascii="Arial" w:hAnsi="Arial" w:cs="Arial"/>
          <w:sz w:val="20"/>
          <w:szCs w:val="20"/>
        </w:rPr>
        <w:t xml:space="preserve"> do not sit well </w:t>
      </w:r>
      <w:r w:rsidR="00C30924" w:rsidRPr="000833FA">
        <w:rPr>
          <w:rFonts w:ascii="Arial" w:hAnsi="Arial" w:cs="Arial"/>
          <w:sz w:val="20"/>
          <w:szCs w:val="20"/>
        </w:rPr>
        <w:t>with democratic and governance precepts.</w:t>
      </w:r>
      <w:r w:rsidR="004D430F" w:rsidRPr="000833FA">
        <w:rPr>
          <w:rFonts w:ascii="Arial" w:hAnsi="Arial" w:cs="Arial"/>
          <w:sz w:val="20"/>
          <w:szCs w:val="20"/>
        </w:rPr>
        <w:t xml:space="preserve"> </w:t>
      </w:r>
      <w:r w:rsidRPr="000833FA">
        <w:rPr>
          <w:rFonts w:ascii="Arial" w:hAnsi="Arial" w:cs="Arial"/>
          <w:sz w:val="20"/>
          <w:szCs w:val="20"/>
        </w:rPr>
        <w:t xml:space="preserve"> </w:t>
      </w:r>
      <w:r w:rsidR="00A9481D" w:rsidRPr="000833FA">
        <w:rPr>
          <w:rFonts w:ascii="Arial" w:hAnsi="Arial" w:cs="Arial"/>
          <w:sz w:val="20"/>
          <w:szCs w:val="20"/>
        </w:rPr>
        <w:t>F</w:t>
      </w:r>
      <w:r w:rsidRPr="000833FA">
        <w:rPr>
          <w:rFonts w:ascii="Arial" w:hAnsi="Arial" w:cs="Arial"/>
          <w:sz w:val="20"/>
          <w:szCs w:val="20"/>
        </w:rPr>
        <w:t xml:space="preserve">or one thing they </w:t>
      </w:r>
      <w:r w:rsidR="00DD2781" w:rsidRPr="000833FA">
        <w:rPr>
          <w:rFonts w:ascii="Arial" w:hAnsi="Arial" w:cs="Arial"/>
          <w:sz w:val="20"/>
          <w:szCs w:val="20"/>
        </w:rPr>
        <w:t xml:space="preserve">reduce </w:t>
      </w:r>
      <w:r w:rsidRPr="000833FA">
        <w:rPr>
          <w:rFonts w:ascii="Arial" w:hAnsi="Arial" w:cs="Arial"/>
          <w:sz w:val="20"/>
          <w:szCs w:val="20"/>
        </w:rPr>
        <w:t xml:space="preserve">power </w:t>
      </w:r>
      <w:r w:rsidR="00DD2781" w:rsidRPr="000833FA">
        <w:rPr>
          <w:rFonts w:ascii="Arial" w:hAnsi="Arial" w:cs="Arial"/>
          <w:sz w:val="20"/>
          <w:szCs w:val="20"/>
        </w:rPr>
        <w:t>o</w:t>
      </w:r>
      <w:r w:rsidRPr="000833FA">
        <w:rPr>
          <w:rFonts w:ascii="Arial" w:hAnsi="Arial" w:cs="Arial"/>
          <w:sz w:val="20"/>
          <w:szCs w:val="20"/>
        </w:rPr>
        <w:t xml:space="preserve">f </w:t>
      </w:r>
      <w:r w:rsidR="00355C0F" w:rsidRPr="000833FA">
        <w:rPr>
          <w:rFonts w:ascii="Arial" w:hAnsi="Arial" w:cs="Arial"/>
          <w:sz w:val="20"/>
          <w:szCs w:val="20"/>
        </w:rPr>
        <w:t>Parliamentarians</w:t>
      </w:r>
      <w:r w:rsidR="00A9481D" w:rsidRPr="000833FA">
        <w:rPr>
          <w:rFonts w:ascii="Arial" w:hAnsi="Arial" w:cs="Arial"/>
          <w:sz w:val="20"/>
          <w:szCs w:val="20"/>
        </w:rPr>
        <w:t xml:space="preserve">.  </w:t>
      </w:r>
      <w:r w:rsidR="00355C0F" w:rsidRPr="000833FA">
        <w:rPr>
          <w:rFonts w:ascii="Arial" w:hAnsi="Arial" w:cs="Arial"/>
          <w:sz w:val="20"/>
          <w:szCs w:val="20"/>
        </w:rPr>
        <w:t xml:space="preserve">For another, </w:t>
      </w:r>
      <w:r w:rsidR="008C284F" w:rsidRPr="000833FA">
        <w:rPr>
          <w:rFonts w:ascii="Arial" w:hAnsi="Arial" w:cs="Arial"/>
          <w:sz w:val="20"/>
          <w:szCs w:val="20"/>
        </w:rPr>
        <w:t>the</w:t>
      </w:r>
      <w:r w:rsidR="00355C0F" w:rsidRPr="000833FA">
        <w:rPr>
          <w:rFonts w:ascii="Arial" w:hAnsi="Arial" w:cs="Arial"/>
          <w:sz w:val="20"/>
          <w:szCs w:val="20"/>
        </w:rPr>
        <w:t xml:space="preserve">y reflect </w:t>
      </w:r>
      <w:r w:rsidR="008C284F" w:rsidRPr="000833FA">
        <w:rPr>
          <w:rFonts w:ascii="Arial" w:hAnsi="Arial" w:cs="Arial"/>
          <w:sz w:val="20"/>
          <w:szCs w:val="20"/>
        </w:rPr>
        <w:t>misconception</w:t>
      </w:r>
      <w:r w:rsidR="00FE24D5" w:rsidRPr="000833FA">
        <w:rPr>
          <w:rFonts w:ascii="Arial" w:hAnsi="Arial" w:cs="Arial"/>
          <w:sz w:val="20"/>
          <w:szCs w:val="20"/>
        </w:rPr>
        <w:t xml:space="preserve">s </w:t>
      </w:r>
      <w:r w:rsidR="00355C0F" w:rsidRPr="000833FA">
        <w:rPr>
          <w:rFonts w:ascii="Arial" w:hAnsi="Arial" w:cs="Arial"/>
          <w:sz w:val="20"/>
          <w:szCs w:val="20"/>
        </w:rPr>
        <w:t xml:space="preserve">about a </w:t>
      </w:r>
      <w:r w:rsidR="00A9481D" w:rsidRPr="000833FA">
        <w:rPr>
          <w:rFonts w:ascii="Arial" w:hAnsi="Arial" w:cs="Arial"/>
          <w:sz w:val="20"/>
          <w:szCs w:val="20"/>
        </w:rPr>
        <w:t xml:space="preserve">‘stewardship’ role.  </w:t>
      </w:r>
      <w:r w:rsidR="00FE24D5" w:rsidRPr="000833FA">
        <w:rPr>
          <w:rFonts w:ascii="Arial" w:hAnsi="Arial" w:cs="Arial"/>
          <w:sz w:val="20"/>
          <w:szCs w:val="20"/>
        </w:rPr>
        <w:t>That role</w:t>
      </w:r>
      <w:r w:rsidR="00A9481D" w:rsidRPr="000833FA">
        <w:rPr>
          <w:rFonts w:ascii="Arial" w:hAnsi="Arial" w:cs="Arial"/>
          <w:sz w:val="20"/>
          <w:szCs w:val="20"/>
        </w:rPr>
        <w:t xml:space="preserve"> should be considered critical for every public servant</w:t>
      </w:r>
      <w:r w:rsidR="00FE24D5" w:rsidRPr="000833FA">
        <w:rPr>
          <w:rFonts w:ascii="Arial" w:hAnsi="Arial" w:cs="Arial"/>
          <w:sz w:val="20"/>
          <w:szCs w:val="20"/>
        </w:rPr>
        <w:t xml:space="preserve"> not </w:t>
      </w:r>
      <w:r w:rsidR="00355C0F" w:rsidRPr="000833FA">
        <w:rPr>
          <w:rFonts w:ascii="Arial" w:hAnsi="Arial" w:cs="Arial"/>
          <w:sz w:val="20"/>
          <w:szCs w:val="20"/>
        </w:rPr>
        <w:t>just</w:t>
      </w:r>
      <w:r w:rsidR="00FE24D5" w:rsidRPr="000833FA">
        <w:rPr>
          <w:rFonts w:ascii="Arial" w:hAnsi="Arial" w:cs="Arial"/>
          <w:sz w:val="20"/>
          <w:szCs w:val="20"/>
        </w:rPr>
        <w:t xml:space="preserve"> agency heads</w:t>
      </w:r>
      <w:r w:rsidR="008973C5">
        <w:rPr>
          <w:rFonts w:ascii="Arial" w:hAnsi="Arial" w:cs="Arial"/>
          <w:sz w:val="20"/>
          <w:szCs w:val="20"/>
        </w:rPr>
        <w:t xml:space="preserve">.  The idea that </w:t>
      </w:r>
      <w:r w:rsidR="00610275">
        <w:rPr>
          <w:rFonts w:ascii="Arial" w:hAnsi="Arial" w:cs="Arial"/>
          <w:sz w:val="20"/>
          <w:szCs w:val="20"/>
        </w:rPr>
        <w:t>stewardship</w:t>
      </w:r>
      <w:r w:rsidR="008973C5">
        <w:rPr>
          <w:rFonts w:ascii="Arial" w:hAnsi="Arial" w:cs="Arial"/>
          <w:sz w:val="20"/>
          <w:szCs w:val="20"/>
        </w:rPr>
        <w:t xml:space="preserve"> and matters such as integrity need to be legislated should be disturbing</w:t>
      </w:r>
      <w:r w:rsidR="00A9481D" w:rsidRPr="000833FA">
        <w:rPr>
          <w:rFonts w:ascii="Arial" w:hAnsi="Arial" w:cs="Arial"/>
          <w:sz w:val="20"/>
          <w:szCs w:val="20"/>
        </w:rPr>
        <w:t xml:space="preserve">.  </w:t>
      </w:r>
    </w:p>
    <w:p w14:paraId="2801EB01" w14:textId="77777777" w:rsidR="00355C0F" w:rsidRPr="000833FA" w:rsidRDefault="00355C0F" w:rsidP="00716F69">
      <w:pPr>
        <w:spacing w:after="0" w:line="276" w:lineRule="auto"/>
        <w:rPr>
          <w:rFonts w:ascii="Arial" w:hAnsi="Arial" w:cs="Arial"/>
          <w:sz w:val="20"/>
          <w:szCs w:val="20"/>
        </w:rPr>
      </w:pPr>
    </w:p>
    <w:p w14:paraId="6EA54A70" w14:textId="6DC39155" w:rsidR="00DD2781" w:rsidRDefault="00500FF7" w:rsidP="00716F69">
      <w:pPr>
        <w:spacing w:after="0" w:line="276" w:lineRule="auto"/>
        <w:rPr>
          <w:rFonts w:ascii="Arial" w:hAnsi="Arial" w:cs="Arial"/>
          <w:sz w:val="20"/>
          <w:szCs w:val="20"/>
        </w:rPr>
      </w:pPr>
      <w:r>
        <w:rPr>
          <w:rFonts w:ascii="Arial" w:hAnsi="Arial" w:cs="Arial"/>
          <w:sz w:val="20"/>
          <w:szCs w:val="20"/>
        </w:rPr>
        <w:t>T</w:t>
      </w:r>
      <w:r w:rsidR="00DD2781" w:rsidRPr="000833FA">
        <w:rPr>
          <w:rFonts w:ascii="Arial" w:hAnsi="Arial" w:cs="Arial"/>
          <w:sz w:val="20"/>
          <w:szCs w:val="20"/>
        </w:rPr>
        <w:t xml:space="preserve">he Public Service Act itself shows </w:t>
      </w:r>
      <w:r w:rsidR="00EF09AC" w:rsidRPr="000833FA">
        <w:rPr>
          <w:rFonts w:ascii="Arial" w:hAnsi="Arial" w:cs="Arial"/>
          <w:sz w:val="20"/>
          <w:szCs w:val="20"/>
        </w:rPr>
        <w:t>issues that arise from sophistry</w:t>
      </w:r>
      <w:r w:rsidR="00DD2781" w:rsidRPr="000833FA">
        <w:rPr>
          <w:rFonts w:ascii="Arial" w:hAnsi="Arial" w:cs="Arial"/>
          <w:sz w:val="20"/>
          <w:szCs w:val="20"/>
        </w:rPr>
        <w:t xml:space="preserve">.  </w:t>
      </w:r>
      <w:r w:rsidR="00EF09AC" w:rsidRPr="000833FA">
        <w:rPr>
          <w:rFonts w:ascii="Arial" w:hAnsi="Arial" w:cs="Arial"/>
          <w:sz w:val="20"/>
          <w:szCs w:val="20"/>
        </w:rPr>
        <w:t xml:space="preserve">Its </w:t>
      </w:r>
      <w:r w:rsidR="00DD2781" w:rsidRPr="000833FA">
        <w:rPr>
          <w:rFonts w:ascii="Arial" w:hAnsi="Arial" w:cs="Arial"/>
          <w:sz w:val="20"/>
          <w:szCs w:val="20"/>
        </w:rPr>
        <w:t xml:space="preserve">references to serving </w:t>
      </w:r>
      <w:r w:rsidR="00EF09AC" w:rsidRPr="000833FA">
        <w:rPr>
          <w:rFonts w:ascii="Arial" w:hAnsi="Arial" w:cs="Arial"/>
          <w:sz w:val="20"/>
          <w:szCs w:val="20"/>
        </w:rPr>
        <w:t>the Government, Parliament and the public are practically and legally irrelevant to nearly every public servant.  S.13(5) of the Act means public servants serve agency heads who in turn serve the Parliament.</w:t>
      </w:r>
    </w:p>
    <w:p w14:paraId="561131E7" w14:textId="6CB4613A" w:rsidR="00500FF7" w:rsidRDefault="00500FF7" w:rsidP="00716F69">
      <w:pPr>
        <w:spacing w:after="0" w:line="276" w:lineRule="auto"/>
        <w:rPr>
          <w:rFonts w:ascii="Arial" w:hAnsi="Arial" w:cs="Arial"/>
          <w:sz w:val="20"/>
          <w:szCs w:val="20"/>
        </w:rPr>
      </w:pPr>
    </w:p>
    <w:p w14:paraId="5F02E701" w14:textId="51088A5F" w:rsidR="00500FF7" w:rsidRPr="000833FA" w:rsidRDefault="00610275" w:rsidP="00716F69">
      <w:pPr>
        <w:spacing w:after="0" w:line="276" w:lineRule="auto"/>
        <w:rPr>
          <w:rFonts w:ascii="Arial" w:hAnsi="Arial" w:cs="Arial"/>
          <w:sz w:val="20"/>
          <w:szCs w:val="20"/>
        </w:rPr>
      </w:pPr>
      <w:r>
        <w:rPr>
          <w:rFonts w:ascii="Arial" w:hAnsi="Arial" w:cs="Arial"/>
          <w:sz w:val="20"/>
          <w:szCs w:val="20"/>
        </w:rPr>
        <w:t>To</w:t>
      </w:r>
      <w:r w:rsidR="00500FF7">
        <w:rPr>
          <w:rFonts w:ascii="Arial" w:hAnsi="Arial" w:cs="Arial"/>
          <w:sz w:val="20"/>
          <w:szCs w:val="20"/>
        </w:rPr>
        <w:t xml:space="preserve"> be effective, any governance system requires honesty </w:t>
      </w:r>
      <w:r w:rsidR="00E923B4">
        <w:rPr>
          <w:rFonts w:ascii="Arial" w:hAnsi="Arial" w:cs="Arial"/>
          <w:sz w:val="20"/>
          <w:szCs w:val="20"/>
        </w:rPr>
        <w:t xml:space="preserve">and respect </w:t>
      </w:r>
      <w:r w:rsidR="00F65C1C">
        <w:rPr>
          <w:rFonts w:ascii="Arial" w:hAnsi="Arial" w:cs="Arial"/>
          <w:sz w:val="20"/>
          <w:szCs w:val="20"/>
        </w:rPr>
        <w:t>by</w:t>
      </w:r>
      <w:r w:rsidR="00E923B4">
        <w:rPr>
          <w:rFonts w:ascii="Arial" w:hAnsi="Arial" w:cs="Arial"/>
          <w:sz w:val="20"/>
          <w:szCs w:val="20"/>
        </w:rPr>
        <w:t xml:space="preserve"> </w:t>
      </w:r>
      <w:r w:rsidR="00500FF7">
        <w:rPr>
          <w:rFonts w:ascii="Arial" w:hAnsi="Arial" w:cs="Arial"/>
          <w:sz w:val="20"/>
          <w:szCs w:val="20"/>
        </w:rPr>
        <w:t xml:space="preserve">those </w:t>
      </w:r>
      <w:r w:rsidR="00220CD3">
        <w:rPr>
          <w:rFonts w:ascii="Arial" w:hAnsi="Arial" w:cs="Arial"/>
          <w:sz w:val="20"/>
          <w:szCs w:val="20"/>
        </w:rPr>
        <w:t>entrusted with</w:t>
      </w:r>
      <w:r w:rsidR="00500FF7">
        <w:rPr>
          <w:rFonts w:ascii="Arial" w:hAnsi="Arial" w:cs="Arial"/>
          <w:sz w:val="20"/>
          <w:szCs w:val="20"/>
        </w:rPr>
        <w:t xml:space="preserve"> power.  This first part of my submission suggests th</w:t>
      </w:r>
      <w:r w:rsidR="007B26AC">
        <w:rPr>
          <w:rFonts w:ascii="Arial" w:hAnsi="Arial" w:cs="Arial"/>
          <w:sz w:val="20"/>
          <w:szCs w:val="20"/>
        </w:rPr>
        <w:t>i</w:t>
      </w:r>
      <w:r w:rsidR="00E923B4">
        <w:rPr>
          <w:rFonts w:ascii="Arial" w:hAnsi="Arial" w:cs="Arial"/>
          <w:sz w:val="20"/>
          <w:szCs w:val="20"/>
        </w:rPr>
        <w:t>s</w:t>
      </w:r>
      <w:r w:rsidR="00500FF7">
        <w:rPr>
          <w:rFonts w:ascii="Arial" w:hAnsi="Arial" w:cs="Arial"/>
          <w:sz w:val="20"/>
          <w:szCs w:val="20"/>
        </w:rPr>
        <w:t xml:space="preserve"> should be considered by the review. </w:t>
      </w:r>
      <w:r w:rsidR="008973C5">
        <w:rPr>
          <w:rFonts w:ascii="Arial" w:hAnsi="Arial" w:cs="Arial"/>
          <w:sz w:val="20"/>
          <w:szCs w:val="20"/>
        </w:rPr>
        <w:t xml:space="preserve"> The second part of my submission will provide evidence </w:t>
      </w:r>
      <w:r w:rsidR="00E923B4">
        <w:rPr>
          <w:rFonts w:ascii="Arial" w:hAnsi="Arial" w:cs="Arial"/>
          <w:sz w:val="20"/>
          <w:szCs w:val="20"/>
        </w:rPr>
        <w:t>these are</w:t>
      </w:r>
      <w:r w:rsidR="003E1BA4">
        <w:rPr>
          <w:rFonts w:ascii="Arial" w:hAnsi="Arial" w:cs="Arial"/>
          <w:sz w:val="20"/>
          <w:szCs w:val="20"/>
        </w:rPr>
        <w:t xml:space="preserve"> increasingly variable characteristic</w:t>
      </w:r>
      <w:r w:rsidR="00E923B4">
        <w:rPr>
          <w:rFonts w:ascii="Arial" w:hAnsi="Arial" w:cs="Arial"/>
          <w:sz w:val="20"/>
          <w:szCs w:val="20"/>
        </w:rPr>
        <w:t>s</w:t>
      </w:r>
      <w:r w:rsidR="003E1BA4">
        <w:rPr>
          <w:rFonts w:ascii="Arial" w:hAnsi="Arial" w:cs="Arial"/>
          <w:sz w:val="20"/>
          <w:szCs w:val="20"/>
        </w:rPr>
        <w:t xml:space="preserve"> of the Australian Public Service.  That situation must change.</w:t>
      </w:r>
    </w:p>
    <w:p w14:paraId="633E6BA9" w14:textId="7DC5F7B5" w:rsidR="00C30924" w:rsidRPr="000833FA" w:rsidRDefault="00C30924" w:rsidP="00716F69">
      <w:pPr>
        <w:spacing w:after="0" w:line="276" w:lineRule="auto"/>
        <w:rPr>
          <w:rFonts w:ascii="Arial" w:hAnsi="Arial" w:cs="Arial"/>
          <w:sz w:val="20"/>
          <w:szCs w:val="20"/>
        </w:rPr>
      </w:pPr>
    </w:p>
    <w:p w14:paraId="29875CC7" w14:textId="0C00A5AA" w:rsidR="00C73F79" w:rsidRPr="000833FA" w:rsidRDefault="00C30924" w:rsidP="00716F69">
      <w:pPr>
        <w:spacing w:after="0" w:line="276" w:lineRule="auto"/>
        <w:rPr>
          <w:rFonts w:ascii="Arial" w:hAnsi="Arial" w:cs="Arial"/>
          <w:sz w:val="20"/>
          <w:szCs w:val="20"/>
        </w:rPr>
      </w:pPr>
      <w:r w:rsidRPr="000833FA">
        <w:rPr>
          <w:rFonts w:ascii="Arial" w:hAnsi="Arial" w:cs="Arial"/>
          <w:sz w:val="20"/>
          <w:szCs w:val="20"/>
        </w:rPr>
        <w:t xml:space="preserve">Some short notes on these matters </w:t>
      </w:r>
      <w:r w:rsidR="0057271E">
        <w:rPr>
          <w:rFonts w:ascii="Arial" w:hAnsi="Arial" w:cs="Arial"/>
          <w:sz w:val="20"/>
          <w:szCs w:val="20"/>
        </w:rPr>
        <w:t xml:space="preserve">and other matters </w:t>
      </w:r>
      <w:r w:rsidR="0038312B">
        <w:rPr>
          <w:rFonts w:ascii="Arial" w:hAnsi="Arial" w:cs="Arial"/>
          <w:sz w:val="20"/>
          <w:szCs w:val="20"/>
        </w:rPr>
        <w:t xml:space="preserve">are </w:t>
      </w:r>
      <w:r w:rsidRPr="000833FA">
        <w:rPr>
          <w:rFonts w:ascii="Arial" w:hAnsi="Arial" w:cs="Arial"/>
          <w:sz w:val="20"/>
          <w:szCs w:val="20"/>
        </w:rPr>
        <w:t>attached.</w:t>
      </w:r>
      <w:r w:rsidR="0038312B">
        <w:rPr>
          <w:rFonts w:ascii="Arial" w:hAnsi="Arial" w:cs="Arial"/>
          <w:sz w:val="20"/>
          <w:szCs w:val="20"/>
        </w:rPr>
        <w:t xml:space="preserve">  </w:t>
      </w:r>
      <w:r w:rsidR="00C73F79" w:rsidRPr="000833FA">
        <w:rPr>
          <w:rFonts w:ascii="Arial" w:hAnsi="Arial" w:cs="Arial"/>
          <w:sz w:val="20"/>
          <w:szCs w:val="20"/>
        </w:rPr>
        <w:t xml:space="preserve">I would be pleased to provide further information and answer questions. </w:t>
      </w:r>
    </w:p>
    <w:p w14:paraId="48FF0088" w14:textId="77777777" w:rsidR="00C73F79" w:rsidRPr="000833FA" w:rsidRDefault="00C73F79" w:rsidP="00716F69">
      <w:pPr>
        <w:spacing w:after="0" w:line="276" w:lineRule="auto"/>
        <w:rPr>
          <w:rFonts w:ascii="Arial" w:hAnsi="Arial" w:cs="Arial"/>
          <w:sz w:val="20"/>
          <w:szCs w:val="20"/>
        </w:rPr>
      </w:pPr>
    </w:p>
    <w:p w14:paraId="79C42AC2" w14:textId="77777777" w:rsidR="00C73F79" w:rsidRPr="000833FA" w:rsidRDefault="00C73F79" w:rsidP="00716F69">
      <w:pPr>
        <w:spacing w:after="0" w:line="276" w:lineRule="auto"/>
        <w:rPr>
          <w:rFonts w:ascii="Arial" w:hAnsi="Arial" w:cs="Arial"/>
          <w:sz w:val="20"/>
          <w:szCs w:val="20"/>
        </w:rPr>
      </w:pPr>
    </w:p>
    <w:p w14:paraId="75A94E02" w14:textId="77777777" w:rsidR="00C73F79" w:rsidRPr="000833FA" w:rsidRDefault="00C73F79" w:rsidP="00716F69">
      <w:pPr>
        <w:spacing w:after="0" w:line="276" w:lineRule="auto"/>
        <w:rPr>
          <w:rFonts w:ascii="Arial" w:hAnsi="Arial" w:cs="Arial"/>
          <w:sz w:val="20"/>
          <w:szCs w:val="20"/>
        </w:rPr>
      </w:pPr>
    </w:p>
    <w:p w14:paraId="4FEC658D" w14:textId="77777777" w:rsidR="00701416" w:rsidRPr="00643B37" w:rsidRDefault="00701416" w:rsidP="00701416">
      <w:pPr>
        <w:spacing w:after="0"/>
        <w:rPr>
          <w:rFonts w:ascii="Arial" w:hAnsi="Arial" w:cs="Arial"/>
          <w:sz w:val="20"/>
          <w:szCs w:val="20"/>
        </w:rPr>
      </w:pPr>
      <w:r w:rsidRPr="00643B37">
        <w:rPr>
          <w:rFonts w:ascii="Arial" w:hAnsi="Arial" w:cs="Arial"/>
          <w:sz w:val="20"/>
          <w:szCs w:val="20"/>
        </w:rPr>
        <w:t>J Austen</w:t>
      </w:r>
    </w:p>
    <w:p w14:paraId="3B00BBB9" w14:textId="3BAD55DC" w:rsidR="00701416" w:rsidRDefault="0066347A" w:rsidP="00701416">
      <w:pPr>
        <w:spacing w:after="0"/>
        <w:rPr>
          <w:rFonts w:ascii="Arial" w:hAnsi="Arial" w:cs="Arial"/>
          <w:sz w:val="20"/>
          <w:szCs w:val="20"/>
        </w:rPr>
      </w:pPr>
      <w:r>
        <w:rPr>
          <w:rFonts w:ascii="Arial" w:hAnsi="Arial" w:cs="Arial"/>
          <w:noProof/>
          <w:sz w:val="20"/>
          <w:szCs w:val="20"/>
          <w:lang w:eastAsia="en-AU"/>
        </w:rPr>
        <mc:AlternateContent>
          <mc:Choice Requires="wps">
            <w:drawing>
              <wp:anchor distT="0" distB="0" distL="114300" distR="114300" simplePos="0" relativeHeight="251659264" behindDoc="0" locked="0" layoutInCell="1" allowOverlap="1" wp14:anchorId="74A4267E" wp14:editId="54474D8F">
                <wp:simplePos x="0" y="0"/>
                <wp:positionH relativeFrom="column">
                  <wp:posOffset>-38100</wp:posOffset>
                </wp:positionH>
                <wp:positionV relativeFrom="paragraph">
                  <wp:posOffset>162560</wp:posOffset>
                </wp:positionV>
                <wp:extent cx="1504950" cy="31750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1504950" cy="317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3572A" id="Rectangle 1" o:spid="_x0000_s1026" style="position:absolute;margin-left:-3pt;margin-top:12.8pt;width:118.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" fillcolor="black [3200]" strokecolor="black [1600]" strokeweight="1pt"/>
            </w:pict>
          </mc:Fallback>
        </mc:AlternateContent>
      </w:r>
      <w:r w:rsidR="00701416">
        <w:rPr>
          <w:rFonts w:ascii="Arial" w:hAnsi="Arial" w:cs="Arial"/>
          <w:sz w:val="20"/>
          <w:szCs w:val="20"/>
        </w:rPr>
        <w:fldChar w:fldCharType="begin"/>
      </w:r>
      <w:r w:rsidR="00701416">
        <w:rPr>
          <w:rFonts w:ascii="Arial" w:hAnsi="Arial" w:cs="Arial"/>
          <w:sz w:val="20"/>
          <w:szCs w:val="20"/>
        </w:rPr>
        <w:instrText xml:space="preserve"> DATE \@ "dddd, d MMMM yyyy" </w:instrText>
      </w:r>
      <w:r w:rsidR="00701416">
        <w:rPr>
          <w:rFonts w:ascii="Arial" w:hAnsi="Arial" w:cs="Arial"/>
          <w:sz w:val="20"/>
          <w:szCs w:val="20"/>
        </w:rPr>
        <w:fldChar w:fldCharType="separate"/>
      </w:r>
      <w:r>
        <w:rPr>
          <w:rFonts w:ascii="Arial" w:hAnsi="Arial" w:cs="Arial"/>
          <w:noProof/>
          <w:sz w:val="20"/>
          <w:szCs w:val="20"/>
        </w:rPr>
        <w:t>Thursday, 16 May 2019</w:t>
      </w:r>
      <w:r w:rsidR="00701416">
        <w:rPr>
          <w:rFonts w:ascii="Arial" w:hAnsi="Arial" w:cs="Arial"/>
          <w:sz w:val="20"/>
          <w:szCs w:val="20"/>
        </w:rPr>
        <w:fldChar w:fldCharType="end"/>
      </w:r>
    </w:p>
    <w:p w14:paraId="262E7875" w14:textId="5183785D" w:rsidR="00701416" w:rsidRPr="00643B37" w:rsidRDefault="00701416" w:rsidP="00701416">
      <w:pPr>
        <w:spacing w:after="0"/>
        <w:rPr>
          <w:rFonts w:ascii="Arial" w:hAnsi="Arial" w:cs="Arial"/>
          <w:sz w:val="20"/>
          <w:szCs w:val="20"/>
        </w:rPr>
      </w:pPr>
      <w:r w:rsidRPr="00643B37">
        <w:rPr>
          <w:rFonts w:ascii="Arial" w:hAnsi="Arial" w:cs="Arial"/>
          <w:sz w:val="20"/>
          <w:szCs w:val="20"/>
        </w:rPr>
        <w:t>0431 764 212</w:t>
      </w:r>
      <w:bookmarkStart w:id="0" w:name="_GoBack"/>
      <w:bookmarkEnd w:id="0"/>
    </w:p>
    <w:p w14:paraId="5FCFE895" w14:textId="77777777" w:rsidR="00701416" w:rsidRPr="00643B37" w:rsidRDefault="00701416" w:rsidP="00701416">
      <w:pPr>
        <w:spacing w:after="0"/>
        <w:rPr>
          <w:rFonts w:ascii="Arial" w:hAnsi="Arial" w:cs="Arial"/>
          <w:sz w:val="20"/>
          <w:szCs w:val="20"/>
        </w:rPr>
      </w:pPr>
      <w:r w:rsidRPr="00643B37">
        <w:rPr>
          <w:rFonts w:ascii="Arial" w:hAnsi="Arial" w:cs="Arial"/>
          <w:sz w:val="20"/>
          <w:szCs w:val="20"/>
        </w:rPr>
        <w:t>jadebeagle@outlook.com</w:t>
      </w:r>
    </w:p>
    <w:p w14:paraId="25205466" w14:textId="6452883F" w:rsidR="00D76889" w:rsidRPr="000833FA" w:rsidRDefault="00D76889" w:rsidP="00716F69">
      <w:pPr>
        <w:spacing w:after="0" w:line="276" w:lineRule="auto"/>
        <w:rPr>
          <w:rFonts w:ascii="Arial" w:hAnsi="Arial" w:cs="Arial"/>
          <w:sz w:val="20"/>
          <w:szCs w:val="20"/>
        </w:rPr>
      </w:pPr>
    </w:p>
    <w:p w14:paraId="4D41C5C2" w14:textId="6CE5A897" w:rsidR="00D76889" w:rsidRPr="000833FA" w:rsidRDefault="00D76889" w:rsidP="00716F69">
      <w:pPr>
        <w:spacing w:after="0" w:line="276" w:lineRule="auto"/>
        <w:rPr>
          <w:rFonts w:ascii="Arial" w:hAnsi="Arial" w:cs="Arial"/>
          <w:sz w:val="20"/>
          <w:szCs w:val="20"/>
        </w:rPr>
      </w:pPr>
      <w:r w:rsidRPr="000833FA">
        <w:rPr>
          <w:rFonts w:ascii="Arial" w:hAnsi="Arial" w:cs="Arial"/>
          <w:sz w:val="20"/>
          <w:szCs w:val="20"/>
        </w:rPr>
        <w:br w:type="page"/>
      </w:r>
    </w:p>
    <w:sdt>
      <w:sdtPr>
        <w:rPr>
          <w:rFonts w:ascii="Arial" w:eastAsiaTheme="minorHAnsi" w:hAnsi="Arial" w:cs="Arial"/>
          <w:color w:val="auto"/>
          <w:sz w:val="20"/>
          <w:szCs w:val="20"/>
          <w:lang w:val="en-AU"/>
        </w:rPr>
        <w:id w:val="2032060919"/>
        <w:docPartObj>
          <w:docPartGallery w:val="Table of Contents"/>
          <w:docPartUnique/>
        </w:docPartObj>
      </w:sdtPr>
      <w:sdtEndPr>
        <w:rPr>
          <w:b/>
          <w:bCs/>
          <w:noProof/>
        </w:rPr>
      </w:sdtEndPr>
      <w:sdtContent>
        <w:p w14:paraId="309BADF3" w14:textId="14EE6879" w:rsidR="000833FA" w:rsidRPr="000833FA" w:rsidRDefault="000833FA" w:rsidP="00716F69">
          <w:pPr>
            <w:pStyle w:val="TOCHeading"/>
            <w:spacing w:before="0" w:line="276" w:lineRule="auto"/>
            <w:rPr>
              <w:rFonts w:ascii="Arial" w:hAnsi="Arial" w:cs="Arial"/>
              <w:sz w:val="20"/>
              <w:szCs w:val="20"/>
            </w:rPr>
          </w:pPr>
          <w:r w:rsidRPr="000833FA">
            <w:rPr>
              <w:rFonts w:ascii="Arial" w:hAnsi="Arial" w:cs="Arial"/>
              <w:sz w:val="20"/>
              <w:szCs w:val="20"/>
            </w:rPr>
            <w:t>Contents</w:t>
          </w:r>
        </w:p>
        <w:p w14:paraId="734A0A52" w14:textId="24AC7952" w:rsidR="00904CD0" w:rsidRDefault="000833FA">
          <w:pPr>
            <w:pStyle w:val="TOC2"/>
            <w:tabs>
              <w:tab w:val="left" w:pos="660"/>
              <w:tab w:val="right" w:leader="dot" w:pos="9016"/>
            </w:tabs>
            <w:rPr>
              <w:rFonts w:eastAsiaTheme="minorEastAsia"/>
              <w:noProof/>
              <w:lang w:eastAsia="en-AU"/>
            </w:rPr>
          </w:pPr>
          <w:r w:rsidRPr="000833FA">
            <w:rPr>
              <w:rFonts w:ascii="Arial" w:hAnsi="Arial" w:cs="Arial"/>
              <w:sz w:val="20"/>
              <w:szCs w:val="20"/>
            </w:rPr>
            <w:fldChar w:fldCharType="begin"/>
          </w:r>
          <w:r w:rsidRPr="000833FA">
            <w:rPr>
              <w:rFonts w:ascii="Arial" w:hAnsi="Arial" w:cs="Arial"/>
              <w:sz w:val="20"/>
              <w:szCs w:val="20"/>
            </w:rPr>
            <w:instrText xml:space="preserve"> TOC \o "1-3" \h \z \u </w:instrText>
          </w:r>
          <w:r w:rsidRPr="000833FA">
            <w:rPr>
              <w:rFonts w:ascii="Arial" w:hAnsi="Arial" w:cs="Arial"/>
              <w:sz w:val="20"/>
              <w:szCs w:val="20"/>
            </w:rPr>
            <w:fldChar w:fldCharType="separate"/>
          </w:r>
          <w:hyperlink w:anchor="_Toc7446744" w:history="1">
            <w:r w:rsidR="00904CD0" w:rsidRPr="0082709F">
              <w:rPr>
                <w:rStyle w:val="Hyperlink"/>
                <w:rFonts w:ascii="Arial" w:hAnsi="Arial" w:cs="Arial"/>
                <w:noProof/>
              </w:rPr>
              <w:t>1.</w:t>
            </w:r>
            <w:r w:rsidR="00904CD0">
              <w:rPr>
                <w:rFonts w:eastAsiaTheme="minorEastAsia"/>
                <w:noProof/>
                <w:lang w:eastAsia="en-AU"/>
              </w:rPr>
              <w:tab/>
            </w:r>
            <w:r w:rsidR="00904CD0" w:rsidRPr="0082709F">
              <w:rPr>
                <w:rStyle w:val="Hyperlink"/>
                <w:rFonts w:ascii="Arial" w:hAnsi="Arial" w:cs="Arial"/>
                <w:noProof/>
              </w:rPr>
              <w:t>Introduction</w:t>
            </w:r>
            <w:r w:rsidR="00904CD0">
              <w:rPr>
                <w:noProof/>
                <w:webHidden/>
              </w:rPr>
              <w:tab/>
            </w:r>
            <w:r w:rsidR="00904CD0">
              <w:rPr>
                <w:noProof/>
                <w:webHidden/>
              </w:rPr>
              <w:fldChar w:fldCharType="begin"/>
            </w:r>
            <w:r w:rsidR="00904CD0">
              <w:rPr>
                <w:noProof/>
                <w:webHidden/>
              </w:rPr>
              <w:instrText xml:space="preserve"> PAGEREF _Toc7446744 \h </w:instrText>
            </w:r>
            <w:r w:rsidR="00904CD0">
              <w:rPr>
                <w:noProof/>
                <w:webHidden/>
              </w:rPr>
            </w:r>
            <w:r w:rsidR="00904CD0">
              <w:rPr>
                <w:noProof/>
                <w:webHidden/>
              </w:rPr>
              <w:fldChar w:fldCharType="separate"/>
            </w:r>
            <w:r w:rsidR="00904CD0">
              <w:rPr>
                <w:noProof/>
                <w:webHidden/>
              </w:rPr>
              <w:t>4</w:t>
            </w:r>
            <w:r w:rsidR="00904CD0">
              <w:rPr>
                <w:noProof/>
                <w:webHidden/>
              </w:rPr>
              <w:fldChar w:fldCharType="end"/>
            </w:r>
          </w:hyperlink>
        </w:p>
        <w:p w14:paraId="7A7AE29F" w14:textId="17E378B3" w:rsidR="00904CD0" w:rsidRDefault="0066347A">
          <w:pPr>
            <w:pStyle w:val="TOC2"/>
            <w:tabs>
              <w:tab w:val="left" w:pos="660"/>
              <w:tab w:val="right" w:leader="dot" w:pos="9016"/>
            </w:tabs>
            <w:rPr>
              <w:rFonts w:eastAsiaTheme="minorEastAsia"/>
              <w:noProof/>
              <w:lang w:eastAsia="en-AU"/>
            </w:rPr>
          </w:pPr>
          <w:hyperlink w:anchor="_Toc7446745" w:history="1">
            <w:r w:rsidR="00904CD0" w:rsidRPr="0082709F">
              <w:rPr>
                <w:rStyle w:val="Hyperlink"/>
                <w:rFonts w:ascii="Arial" w:hAnsi="Arial" w:cs="Arial"/>
                <w:noProof/>
              </w:rPr>
              <w:t>2.</w:t>
            </w:r>
            <w:r w:rsidR="00904CD0">
              <w:rPr>
                <w:rFonts w:eastAsiaTheme="minorEastAsia"/>
                <w:noProof/>
                <w:lang w:eastAsia="en-AU"/>
              </w:rPr>
              <w:tab/>
            </w:r>
            <w:r w:rsidR="00904CD0" w:rsidRPr="0082709F">
              <w:rPr>
                <w:rStyle w:val="Hyperlink"/>
                <w:rFonts w:ascii="Arial" w:hAnsi="Arial" w:cs="Arial"/>
                <w:noProof/>
              </w:rPr>
              <w:t>Democratic foundations</w:t>
            </w:r>
            <w:r w:rsidR="00904CD0">
              <w:rPr>
                <w:noProof/>
                <w:webHidden/>
              </w:rPr>
              <w:tab/>
            </w:r>
            <w:r w:rsidR="00904CD0">
              <w:rPr>
                <w:noProof/>
                <w:webHidden/>
              </w:rPr>
              <w:fldChar w:fldCharType="begin"/>
            </w:r>
            <w:r w:rsidR="00904CD0">
              <w:rPr>
                <w:noProof/>
                <w:webHidden/>
              </w:rPr>
              <w:instrText xml:space="preserve"> PAGEREF _Toc7446745 \h </w:instrText>
            </w:r>
            <w:r w:rsidR="00904CD0">
              <w:rPr>
                <w:noProof/>
                <w:webHidden/>
              </w:rPr>
            </w:r>
            <w:r w:rsidR="00904CD0">
              <w:rPr>
                <w:noProof/>
                <w:webHidden/>
              </w:rPr>
              <w:fldChar w:fldCharType="separate"/>
            </w:r>
            <w:r w:rsidR="00904CD0">
              <w:rPr>
                <w:noProof/>
                <w:webHidden/>
              </w:rPr>
              <w:t>4</w:t>
            </w:r>
            <w:r w:rsidR="00904CD0">
              <w:rPr>
                <w:noProof/>
                <w:webHidden/>
              </w:rPr>
              <w:fldChar w:fldCharType="end"/>
            </w:r>
          </w:hyperlink>
        </w:p>
        <w:p w14:paraId="5754F143" w14:textId="4F1576BF" w:rsidR="00904CD0" w:rsidRDefault="0066347A">
          <w:pPr>
            <w:pStyle w:val="TOC3"/>
            <w:tabs>
              <w:tab w:val="left" w:pos="1100"/>
              <w:tab w:val="right" w:leader="dot" w:pos="9016"/>
            </w:tabs>
            <w:rPr>
              <w:rFonts w:eastAsiaTheme="minorEastAsia"/>
              <w:noProof/>
              <w:lang w:eastAsia="en-AU"/>
            </w:rPr>
          </w:pPr>
          <w:hyperlink w:anchor="_Toc7446746" w:history="1">
            <w:r w:rsidR="00904CD0" w:rsidRPr="0082709F">
              <w:rPr>
                <w:rStyle w:val="Hyperlink"/>
                <w:rFonts w:ascii="Arial" w:hAnsi="Arial" w:cs="Arial"/>
                <w:noProof/>
              </w:rPr>
              <w:t>2.1</w:t>
            </w:r>
            <w:r w:rsidR="00904CD0">
              <w:rPr>
                <w:rFonts w:eastAsiaTheme="minorEastAsia"/>
                <w:noProof/>
                <w:lang w:eastAsia="en-AU"/>
              </w:rPr>
              <w:tab/>
            </w:r>
            <w:r w:rsidR="00904CD0" w:rsidRPr="0082709F">
              <w:rPr>
                <w:rStyle w:val="Hyperlink"/>
                <w:rFonts w:ascii="Arial" w:hAnsi="Arial" w:cs="Arial"/>
                <w:noProof/>
              </w:rPr>
              <w:t>Framework</w:t>
            </w:r>
            <w:r w:rsidR="00904CD0">
              <w:rPr>
                <w:noProof/>
                <w:webHidden/>
              </w:rPr>
              <w:tab/>
            </w:r>
            <w:r w:rsidR="00904CD0">
              <w:rPr>
                <w:noProof/>
                <w:webHidden/>
              </w:rPr>
              <w:fldChar w:fldCharType="begin"/>
            </w:r>
            <w:r w:rsidR="00904CD0">
              <w:rPr>
                <w:noProof/>
                <w:webHidden/>
              </w:rPr>
              <w:instrText xml:space="preserve"> PAGEREF _Toc7446746 \h </w:instrText>
            </w:r>
            <w:r w:rsidR="00904CD0">
              <w:rPr>
                <w:noProof/>
                <w:webHidden/>
              </w:rPr>
            </w:r>
            <w:r w:rsidR="00904CD0">
              <w:rPr>
                <w:noProof/>
                <w:webHidden/>
              </w:rPr>
              <w:fldChar w:fldCharType="separate"/>
            </w:r>
            <w:r w:rsidR="00904CD0">
              <w:rPr>
                <w:noProof/>
                <w:webHidden/>
              </w:rPr>
              <w:t>4</w:t>
            </w:r>
            <w:r w:rsidR="00904CD0">
              <w:rPr>
                <w:noProof/>
                <w:webHidden/>
              </w:rPr>
              <w:fldChar w:fldCharType="end"/>
            </w:r>
          </w:hyperlink>
        </w:p>
        <w:p w14:paraId="70B868C9" w14:textId="4C9D828D" w:rsidR="00904CD0" w:rsidRDefault="0066347A">
          <w:pPr>
            <w:pStyle w:val="TOC3"/>
            <w:tabs>
              <w:tab w:val="left" w:pos="1100"/>
              <w:tab w:val="right" w:leader="dot" w:pos="9016"/>
            </w:tabs>
            <w:rPr>
              <w:rFonts w:eastAsiaTheme="minorEastAsia"/>
              <w:noProof/>
              <w:lang w:eastAsia="en-AU"/>
            </w:rPr>
          </w:pPr>
          <w:hyperlink w:anchor="_Toc7446747" w:history="1">
            <w:r w:rsidR="00904CD0" w:rsidRPr="0082709F">
              <w:rPr>
                <w:rStyle w:val="Hyperlink"/>
                <w:rFonts w:ascii="Arial" w:hAnsi="Arial" w:cs="Arial"/>
                <w:noProof/>
              </w:rPr>
              <w:t>2.2</w:t>
            </w:r>
            <w:r w:rsidR="00904CD0">
              <w:rPr>
                <w:rFonts w:eastAsiaTheme="minorEastAsia"/>
                <w:noProof/>
                <w:lang w:eastAsia="en-AU"/>
              </w:rPr>
              <w:tab/>
            </w:r>
            <w:r w:rsidR="00904CD0" w:rsidRPr="0082709F">
              <w:rPr>
                <w:rStyle w:val="Hyperlink"/>
                <w:rFonts w:ascii="Arial" w:hAnsi="Arial" w:cs="Arial"/>
                <w:noProof/>
              </w:rPr>
              <w:t>Relevance of framework to the public service</w:t>
            </w:r>
            <w:r w:rsidR="00904CD0">
              <w:rPr>
                <w:noProof/>
                <w:webHidden/>
              </w:rPr>
              <w:tab/>
            </w:r>
            <w:r w:rsidR="00904CD0">
              <w:rPr>
                <w:noProof/>
                <w:webHidden/>
              </w:rPr>
              <w:fldChar w:fldCharType="begin"/>
            </w:r>
            <w:r w:rsidR="00904CD0">
              <w:rPr>
                <w:noProof/>
                <w:webHidden/>
              </w:rPr>
              <w:instrText xml:space="preserve"> PAGEREF _Toc7446747 \h </w:instrText>
            </w:r>
            <w:r w:rsidR="00904CD0">
              <w:rPr>
                <w:noProof/>
                <w:webHidden/>
              </w:rPr>
            </w:r>
            <w:r w:rsidR="00904CD0">
              <w:rPr>
                <w:noProof/>
                <w:webHidden/>
              </w:rPr>
              <w:fldChar w:fldCharType="separate"/>
            </w:r>
            <w:r w:rsidR="00904CD0">
              <w:rPr>
                <w:noProof/>
                <w:webHidden/>
              </w:rPr>
              <w:t>4</w:t>
            </w:r>
            <w:r w:rsidR="00904CD0">
              <w:rPr>
                <w:noProof/>
                <w:webHidden/>
              </w:rPr>
              <w:fldChar w:fldCharType="end"/>
            </w:r>
          </w:hyperlink>
        </w:p>
        <w:p w14:paraId="6D98D1DD" w14:textId="0EC724BD" w:rsidR="00904CD0" w:rsidRDefault="0066347A">
          <w:pPr>
            <w:pStyle w:val="TOC3"/>
            <w:tabs>
              <w:tab w:val="left" w:pos="1100"/>
              <w:tab w:val="right" w:leader="dot" w:pos="9016"/>
            </w:tabs>
            <w:rPr>
              <w:rFonts w:eastAsiaTheme="minorEastAsia"/>
              <w:noProof/>
              <w:lang w:eastAsia="en-AU"/>
            </w:rPr>
          </w:pPr>
          <w:hyperlink w:anchor="_Toc7446748" w:history="1">
            <w:r w:rsidR="00904CD0" w:rsidRPr="0082709F">
              <w:rPr>
                <w:rStyle w:val="Hyperlink"/>
                <w:rFonts w:ascii="Arial" w:hAnsi="Arial" w:cs="Arial"/>
                <w:noProof/>
              </w:rPr>
              <w:t>2.3</w:t>
            </w:r>
            <w:r w:rsidR="00904CD0">
              <w:rPr>
                <w:rFonts w:eastAsiaTheme="minorEastAsia"/>
                <w:noProof/>
                <w:lang w:eastAsia="en-AU"/>
              </w:rPr>
              <w:tab/>
            </w:r>
            <w:r w:rsidR="00904CD0" w:rsidRPr="0082709F">
              <w:rPr>
                <w:rStyle w:val="Hyperlink"/>
                <w:rFonts w:ascii="Arial" w:hAnsi="Arial" w:cs="Arial"/>
                <w:noProof/>
              </w:rPr>
              <w:t>Commonwealth and Executive powers</w:t>
            </w:r>
            <w:r w:rsidR="00904CD0">
              <w:rPr>
                <w:noProof/>
                <w:webHidden/>
              </w:rPr>
              <w:tab/>
            </w:r>
            <w:r w:rsidR="00904CD0">
              <w:rPr>
                <w:noProof/>
                <w:webHidden/>
              </w:rPr>
              <w:fldChar w:fldCharType="begin"/>
            </w:r>
            <w:r w:rsidR="00904CD0">
              <w:rPr>
                <w:noProof/>
                <w:webHidden/>
              </w:rPr>
              <w:instrText xml:space="preserve"> PAGEREF _Toc7446748 \h </w:instrText>
            </w:r>
            <w:r w:rsidR="00904CD0">
              <w:rPr>
                <w:noProof/>
                <w:webHidden/>
              </w:rPr>
            </w:r>
            <w:r w:rsidR="00904CD0">
              <w:rPr>
                <w:noProof/>
                <w:webHidden/>
              </w:rPr>
              <w:fldChar w:fldCharType="separate"/>
            </w:r>
            <w:r w:rsidR="00904CD0">
              <w:rPr>
                <w:noProof/>
                <w:webHidden/>
              </w:rPr>
              <w:t>6</w:t>
            </w:r>
            <w:r w:rsidR="00904CD0">
              <w:rPr>
                <w:noProof/>
                <w:webHidden/>
              </w:rPr>
              <w:fldChar w:fldCharType="end"/>
            </w:r>
          </w:hyperlink>
        </w:p>
        <w:p w14:paraId="1AB80C64" w14:textId="1491862C" w:rsidR="00904CD0" w:rsidRDefault="0066347A">
          <w:pPr>
            <w:pStyle w:val="TOC3"/>
            <w:tabs>
              <w:tab w:val="left" w:pos="1100"/>
              <w:tab w:val="right" w:leader="dot" w:pos="9016"/>
            </w:tabs>
            <w:rPr>
              <w:rFonts w:eastAsiaTheme="minorEastAsia"/>
              <w:noProof/>
              <w:lang w:eastAsia="en-AU"/>
            </w:rPr>
          </w:pPr>
          <w:hyperlink w:anchor="_Toc7446749" w:history="1">
            <w:r w:rsidR="00904CD0" w:rsidRPr="0082709F">
              <w:rPr>
                <w:rStyle w:val="Hyperlink"/>
                <w:rFonts w:ascii="Arial" w:hAnsi="Arial" w:cs="Arial"/>
                <w:noProof/>
              </w:rPr>
              <w:t>2.4</w:t>
            </w:r>
            <w:r w:rsidR="00904CD0">
              <w:rPr>
                <w:rFonts w:eastAsiaTheme="minorEastAsia"/>
                <w:noProof/>
                <w:lang w:eastAsia="en-AU"/>
              </w:rPr>
              <w:tab/>
            </w:r>
            <w:r w:rsidR="00904CD0" w:rsidRPr="0082709F">
              <w:rPr>
                <w:rStyle w:val="Hyperlink"/>
                <w:rFonts w:ascii="Arial" w:hAnsi="Arial" w:cs="Arial"/>
                <w:noProof/>
              </w:rPr>
              <w:t>Implications for public service</w:t>
            </w:r>
            <w:r w:rsidR="00904CD0">
              <w:rPr>
                <w:noProof/>
                <w:webHidden/>
              </w:rPr>
              <w:tab/>
            </w:r>
            <w:r w:rsidR="00904CD0">
              <w:rPr>
                <w:noProof/>
                <w:webHidden/>
              </w:rPr>
              <w:fldChar w:fldCharType="begin"/>
            </w:r>
            <w:r w:rsidR="00904CD0">
              <w:rPr>
                <w:noProof/>
                <w:webHidden/>
              </w:rPr>
              <w:instrText xml:space="preserve"> PAGEREF _Toc7446749 \h </w:instrText>
            </w:r>
            <w:r w:rsidR="00904CD0">
              <w:rPr>
                <w:noProof/>
                <w:webHidden/>
              </w:rPr>
            </w:r>
            <w:r w:rsidR="00904CD0">
              <w:rPr>
                <w:noProof/>
                <w:webHidden/>
              </w:rPr>
              <w:fldChar w:fldCharType="separate"/>
            </w:r>
            <w:r w:rsidR="00904CD0">
              <w:rPr>
                <w:noProof/>
                <w:webHidden/>
              </w:rPr>
              <w:t>7</w:t>
            </w:r>
            <w:r w:rsidR="00904CD0">
              <w:rPr>
                <w:noProof/>
                <w:webHidden/>
              </w:rPr>
              <w:fldChar w:fldCharType="end"/>
            </w:r>
          </w:hyperlink>
        </w:p>
        <w:p w14:paraId="21C00A9B" w14:textId="25431DAD" w:rsidR="00904CD0" w:rsidRDefault="0066347A">
          <w:pPr>
            <w:pStyle w:val="TOC3"/>
            <w:tabs>
              <w:tab w:val="left" w:pos="1100"/>
              <w:tab w:val="right" w:leader="dot" w:pos="9016"/>
            </w:tabs>
            <w:rPr>
              <w:rFonts w:eastAsiaTheme="minorEastAsia"/>
              <w:noProof/>
              <w:lang w:eastAsia="en-AU"/>
            </w:rPr>
          </w:pPr>
          <w:hyperlink w:anchor="_Toc7446750" w:history="1">
            <w:r w:rsidR="00904CD0" w:rsidRPr="0082709F">
              <w:rPr>
                <w:rStyle w:val="Hyperlink"/>
                <w:rFonts w:ascii="Arial" w:hAnsi="Arial" w:cs="Arial"/>
                <w:noProof/>
              </w:rPr>
              <w:t>2.5</w:t>
            </w:r>
            <w:r w:rsidR="00904CD0">
              <w:rPr>
                <w:rFonts w:eastAsiaTheme="minorEastAsia"/>
                <w:noProof/>
                <w:lang w:eastAsia="en-AU"/>
              </w:rPr>
              <w:tab/>
            </w:r>
            <w:r w:rsidR="00904CD0" w:rsidRPr="0082709F">
              <w:rPr>
                <w:rStyle w:val="Hyperlink"/>
                <w:rFonts w:ascii="Arial" w:hAnsi="Arial" w:cs="Arial"/>
                <w:noProof/>
              </w:rPr>
              <w:t>Implications for review</w:t>
            </w:r>
            <w:r w:rsidR="00904CD0">
              <w:rPr>
                <w:noProof/>
                <w:webHidden/>
              </w:rPr>
              <w:tab/>
            </w:r>
            <w:r w:rsidR="00904CD0">
              <w:rPr>
                <w:noProof/>
                <w:webHidden/>
              </w:rPr>
              <w:fldChar w:fldCharType="begin"/>
            </w:r>
            <w:r w:rsidR="00904CD0">
              <w:rPr>
                <w:noProof/>
                <w:webHidden/>
              </w:rPr>
              <w:instrText xml:space="preserve"> PAGEREF _Toc7446750 \h </w:instrText>
            </w:r>
            <w:r w:rsidR="00904CD0">
              <w:rPr>
                <w:noProof/>
                <w:webHidden/>
              </w:rPr>
            </w:r>
            <w:r w:rsidR="00904CD0">
              <w:rPr>
                <w:noProof/>
                <w:webHidden/>
              </w:rPr>
              <w:fldChar w:fldCharType="separate"/>
            </w:r>
            <w:r w:rsidR="00904CD0">
              <w:rPr>
                <w:noProof/>
                <w:webHidden/>
              </w:rPr>
              <w:t>8</w:t>
            </w:r>
            <w:r w:rsidR="00904CD0">
              <w:rPr>
                <w:noProof/>
                <w:webHidden/>
              </w:rPr>
              <w:fldChar w:fldCharType="end"/>
            </w:r>
          </w:hyperlink>
        </w:p>
        <w:p w14:paraId="5F63B193" w14:textId="1B874C50" w:rsidR="00904CD0" w:rsidRDefault="0066347A">
          <w:pPr>
            <w:pStyle w:val="TOC2"/>
            <w:tabs>
              <w:tab w:val="left" w:pos="660"/>
              <w:tab w:val="right" w:leader="dot" w:pos="9016"/>
            </w:tabs>
            <w:rPr>
              <w:rFonts w:eastAsiaTheme="minorEastAsia"/>
              <w:noProof/>
              <w:lang w:eastAsia="en-AU"/>
            </w:rPr>
          </w:pPr>
          <w:hyperlink w:anchor="_Toc7446751" w:history="1">
            <w:r w:rsidR="00904CD0" w:rsidRPr="0082709F">
              <w:rPr>
                <w:rStyle w:val="Hyperlink"/>
                <w:noProof/>
              </w:rPr>
              <w:t>3.</w:t>
            </w:r>
            <w:r w:rsidR="00904CD0">
              <w:rPr>
                <w:rFonts w:eastAsiaTheme="minorEastAsia"/>
                <w:noProof/>
                <w:lang w:eastAsia="en-AU"/>
              </w:rPr>
              <w:tab/>
            </w:r>
            <w:r w:rsidR="00904CD0" w:rsidRPr="0082709F">
              <w:rPr>
                <w:rStyle w:val="Hyperlink"/>
                <w:rFonts w:ascii="Arial" w:hAnsi="Arial" w:cs="Arial"/>
                <w:noProof/>
              </w:rPr>
              <w:t>Governance</w:t>
            </w:r>
            <w:r w:rsidR="00904CD0">
              <w:rPr>
                <w:noProof/>
                <w:webHidden/>
              </w:rPr>
              <w:tab/>
            </w:r>
            <w:r w:rsidR="00904CD0">
              <w:rPr>
                <w:noProof/>
                <w:webHidden/>
              </w:rPr>
              <w:fldChar w:fldCharType="begin"/>
            </w:r>
            <w:r w:rsidR="00904CD0">
              <w:rPr>
                <w:noProof/>
                <w:webHidden/>
              </w:rPr>
              <w:instrText xml:space="preserve"> PAGEREF _Toc7446751 \h </w:instrText>
            </w:r>
            <w:r w:rsidR="00904CD0">
              <w:rPr>
                <w:noProof/>
                <w:webHidden/>
              </w:rPr>
            </w:r>
            <w:r w:rsidR="00904CD0">
              <w:rPr>
                <w:noProof/>
                <w:webHidden/>
              </w:rPr>
              <w:fldChar w:fldCharType="separate"/>
            </w:r>
            <w:r w:rsidR="00904CD0">
              <w:rPr>
                <w:noProof/>
                <w:webHidden/>
              </w:rPr>
              <w:t>9</w:t>
            </w:r>
            <w:r w:rsidR="00904CD0">
              <w:rPr>
                <w:noProof/>
                <w:webHidden/>
              </w:rPr>
              <w:fldChar w:fldCharType="end"/>
            </w:r>
          </w:hyperlink>
        </w:p>
        <w:p w14:paraId="0EA0495E" w14:textId="51C50D8C" w:rsidR="00904CD0" w:rsidRDefault="0066347A">
          <w:pPr>
            <w:pStyle w:val="TOC3"/>
            <w:tabs>
              <w:tab w:val="left" w:pos="1100"/>
              <w:tab w:val="right" w:leader="dot" w:pos="9016"/>
            </w:tabs>
            <w:rPr>
              <w:rFonts w:eastAsiaTheme="minorEastAsia"/>
              <w:noProof/>
              <w:lang w:eastAsia="en-AU"/>
            </w:rPr>
          </w:pPr>
          <w:hyperlink w:anchor="_Toc7446752" w:history="1">
            <w:r w:rsidR="00904CD0" w:rsidRPr="0082709F">
              <w:rPr>
                <w:rStyle w:val="Hyperlink"/>
                <w:rFonts w:ascii="Arial" w:hAnsi="Arial" w:cs="Arial"/>
                <w:noProof/>
              </w:rPr>
              <w:t>3.1</w:t>
            </w:r>
            <w:r w:rsidR="00904CD0">
              <w:rPr>
                <w:rFonts w:eastAsiaTheme="minorEastAsia"/>
                <w:noProof/>
                <w:lang w:eastAsia="en-AU"/>
              </w:rPr>
              <w:tab/>
            </w:r>
            <w:r w:rsidR="00904CD0" w:rsidRPr="0082709F">
              <w:rPr>
                <w:rStyle w:val="Hyperlink"/>
                <w:rFonts w:ascii="Arial" w:hAnsi="Arial" w:cs="Arial"/>
                <w:noProof/>
              </w:rPr>
              <w:t>Defined</w:t>
            </w:r>
            <w:r w:rsidR="00904CD0">
              <w:rPr>
                <w:noProof/>
                <w:webHidden/>
              </w:rPr>
              <w:tab/>
            </w:r>
            <w:r w:rsidR="00904CD0">
              <w:rPr>
                <w:noProof/>
                <w:webHidden/>
              </w:rPr>
              <w:fldChar w:fldCharType="begin"/>
            </w:r>
            <w:r w:rsidR="00904CD0">
              <w:rPr>
                <w:noProof/>
                <w:webHidden/>
              </w:rPr>
              <w:instrText xml:space="preserve"> PAGEREF _Toc7446752 \h </w:instrText>
            </w:r>
            <w:r w:rsidR="00904CD0">
              <w:rPr>
                <w:noProof/>
                <w:webHidden/>
              </w:rPr>
            </w:r>
            <w:r w:rsidR="00904CD0">
              <w:rPr>
                <w:noProof/>
                <w:webHidden/>
              </w:rPr>
              <w:fldChar w:fldCharType="separate"/>
            </w:r>
            <w:r w:rsidR="00904CD0">
              <w:rPr>
                <w:noProof/>
                <w:webHidden/>
              </w:rPr>
              <w:t>9</w:t>
            </w:r>
            <w:r w:rsidR="00904CD0">
              <w:rPr>
                <w:noProof/>
                <w:webHidden/>
              </w:rPr>
              <w:fldChar w:fldCharType="end"/>
            </w:r>
          </w:hyperlink>
        </w:p>
        <w:p w14:paraId="362B6361" w14:textId="5F61A19D" w:rsidR="00904CD0" w:rsidRDefault="0066347A">
          <w:pPr>
            <w:pStyle w:val="TOC3"/>
            <w:tabs>
              <w:tab w:val="left" w:pos="1100"/>
              <w:tab w:val="right" w:leader="dot" w:pos="9016"/>
            </w:tabs>
            <w:rPr>
              <w:rFonts w:eastAsiaTheme="minorEastAsia"/>
              <w:noProof/>
              <w:lang w:eastAsia="en-AU"/>
            </w:rPr>
          </w:pPr>
          <w:hyperlink w:anchor="_Toc7446753" w:history="1">
            <w:r w:rsidR="00904CD0" w:rsidRPr="0082709F">
              <w:rPr>
                <w:rStyle w:val="Hyperlink"/>
                <w:rFonts w:ascii="Arial" w:hAnsi="Arial" w:cs="Arial"/>
                <w:noProof/>
              </w:rPr>
              <w:t>3.2</w:t>
            </w:r>
            <w:r w:rsidR="00904CD0">
              <w:rPr>
                <w:rFonts w:eastAsiaTheme="minorEastAsia"/>
                <w:noProof/>
                <w:lang w:eastAsia="en-AU"/>
              </w:rPr>
              <w:tab/>
            </w:r>
            <w:r w:rsidR="00904CD0" w:rsidRPr="0082709F">
              <w:rPr>
                <w:rStyle w:val="Hyperlink"/>
                <w:rFonts w:ascii="Arial" w:hAnsi="Arial" w:cs="Arial"/>
                <w:noProof/>
              </w:rPr>
              <w:t>The corporate model</w:t>
            </w:r>
            <w:r w:rsidR="00904CD0">
              <w:rPr>
                <w:noProof/>
                <w:webHidden/>
              </w:rPr>
              <w:tab/>
            </w:r>
            <w:r w:rsidR="00904CD0">
              <w:rPr>
                <w:noProof/>
                <w:webHidden/>
              </w:rPr>
              <w:fldChar w:fldCharType="begin"/>
            </w:r>
            <w:r w:rsidR="00904CD0">
              <w:rPr>
                <w:noProof/>
                <w:webHidden/>
              </w:rPr>
              <w:instrText xml:space="preserve"> PAGEREF _Toc7446753 \h </w:instrText>
            </w:r>
            <w:r w:rsidR="00904CD0">
              <w:rPr>
                <w:noProof/>
                <w:webHidden/>
              </w:rPr>
            </w:r>
            <w:r w:rsidR="00904CD0">
              <w:rPr>
                <w:noProof/>
                <w:webHidden/>
              </w:rPr>
              <w:fldChar w:fldCharType="separate"/>
            </w:r>
            <w:r w:rsidR="00904CD0">
              <w:rPr>
                <w:noProof/>
                <w:webHidden/>
              </w:rPr>
              <w:t>10</w:t>
            </w:r>
            <w:r w:rsidR="00904CD0">
              <w:rPr>
                <w:noProof/>
                <w:webHidden/>
              </w:rPr>
              <w:fldChar w:fldCharType="end"/>
            </w:r>
          </w:hyperlink>
        </w:p>
        <w:p w14:paraId="39905DF9" w14:textId="4305D9E7" w:rsidR="00904CD0" w:rsidRDefault="0066347A">
          <w:pPr>
            <w:pStyle w:val="TOC3"/>
            <w:tabs>
              <w:tab w:val="left" w:pos="1100"/>
              <w:tab w:val="right" w:leader="dot" w:pos="9016"/>
            </w:tabs>
            <w:rPr>
              <w:rFonts w:eastAsiaTheme="minorEastAsia"/>
              <w:noProof/>
              <w:lang w:eastAsia="en-AU"/>
            </w:rPr>
          </w:pPr>
          <w:hyperlink w:anchor="_Toc7446754" w:history="1">
            <w:r w:rsidR="00904CD0" w:rsidRPr="0082709F">
              <w:rPr>
                <w:rStyle w:val="Hyperlink"/>
                <w:rFonts w:ascii="Arial" w:hAnsi="Arial" w:cs="Arial"/>
                <w:noProof/>
              </w:rPr>
              <w:t>3.3</w:t>
            </w:r>
            <w:r w:rsidR="00904CD0">
              <w:rPr>
                <w:rFonts w:eastAsiaTheme="minorEastAsia"/>
                <w:noProof/>
                <w:lang w:eastAsia="en-AU"/>
              </w:rPr>
              <w:tab/>
            </w:r>
            <w:r w:rsidR="00904CD0" w:rsidRPr="0082709F">
              <w:rPr>
                <w:rStyle w:val="Hyperlink"/>
                <w:rFonts w:ascii="Arial" w:hAnsi="Arial" w:cs="Arial"/>
                <w:noProof/>
              </w:rPr>
              <w:t>Confusion about independence</w:t>
            </w:r>
            <w:r w:rsidR="00904CD0">
              <w:rPr>
                <w:noProof/>
                <w:webHidden/>
              </w:rPr>
              <w:tab/>
            </w:r>
            <w:r w:rsidR="00904CD0">
              <w:rPr>
                <w:noProof/>
                <w:webHidden/>
              </w:rPr>
              <w:fldChar w:fldCharType="begin"/>
            </w:r>
            <w:r w:rsidR="00904CD0">
              <w:rPr>
                <w:noProof/>
                <w:webHidden/>
              </w:rPr>
              <w:instrText xml:space="preserve"> PAGEREF _Toc7446754 \h </w:instrText>
            </w:r>
            <w:r w:rsidR="00904CD0">
              <w:rPr>
                <w:noProof/>
                <w:webHidden/>
              </w:rPr>
            </w:r>
            <w:r w:rsidR="00904CD0">
              <w:rPr>
                <w:noProof/>
                <w:webHidden/>
              </w:rPr>
              <w:fldChar w:fldCharType="separate"/>
            </w:r>
            <w:r w:rsidR="00904CD0">
              <w:rPr>
                <w:noProof/>
                <w:webHidden/>
              </w:rPr>
              <w:t>10</w:t>
            </w:r>
            <w:r w:rsidR="00904CD0">
              <w:rPr>
                <w:noProof/>
                <w:webHidden/>
              </w:rPr>
              <w:fldChar w:fldCharType="end"/>
            </w:r>
          </w:hyperlink>
        </w:p>
        <w:p w14:paraId="7271FC36" w14:textId="712D7C7D" w:rsidR="00904CD0" w:rsidRDefault="0066347A">
          <w:pPr>
            <w:pStyle w:val="TOC3"/>
            <w:tabs>
              <w:tab w:val="left" w:pos="1100"/>
              <w:tab w:val="right" w:leader="dot" w:pos="9016"/>
            </w:tabs>
            <w:rPr>
              <w:rFonts w:eastAsiaTheme="minorEastAsia"/>
              <w:noProof/>
              <w:lang w:eastAsia="en-AU"/>
            </w:rPr>
          </w:pPr>
          <w:hyperlink w:anchor="_Toc7446755" w:history="1">
            <w:r w:rsidR="00904CD0" w:rsidRPr="0082709F">
              <w:rPr>
                <w:rStyle w:val="Hyperlink"/>
                <w:rFonts w:ascii="Arial" w:hAnsi="Arial" w:cs="Arial"/>
                <w:noProof/>
              </w:rPr>
              <w:t>3.4</w:t>
            </w:r>
            <w:r w:rsidR="00904CD0">
              <w:rPr>
                <w:rFonts w:eastAsiaTheme="minorEastAsia"/>
                <w:noProof/>
                <w:lang w:eastAsia="en-AU"/>
              </w:rPr>
              <w:tab/>
            </w:r>
            <w:r w:rsidR="00904CD0" w:rsidRPr="0082709F">
              <w:rPr>
                <w:rStyle w:val="Hyperlink"/>
                <w:rFonts w:ascii="Arial" w:hAnsi="Arial" w:cs="Arial"/>
                <w:noProof/>
              </w:rPr>
              <w:t>Some specific deficiencies</w:t>
            </w:r>
            <w:r w:rsidR="00904CD0">
              <w:rPr>
                <w:noProof/>
                <w:webHidden/>
              </w:rPr>
              <w:tab/>
            </w:r>
            <w:r w:rsidR="00904CD0">
              <w:rPr>
                <w:noProof/>
                <w:webHidden/>
              </w:rPr>
              <w:fldChar w:fldCharType="begin"/>
            </w:r>
            <w:r w:rsidR="00904CD0">
              <w:rPr>
                <w:noProof/>
                <w:webHidden/>
              </w:rPr>
              <w:instrText xml:space="preserve"> PAGEREF _Toc7446755 \h </w:instrText>
            </w:r>
            <w:r w:rsidR="00904CD0">
              <w:rPr>
                <w:noProof/>
                <w:webHidden/>
              </w:rPr>
            </w:r>
            <w:r w:rsidR="00904CD0">
              <w:rPr>
                <w:noProof/>
                <w:webHidden/>
              </w:rPr>
              <w:fldChar w:fldCharType="separate"/>
            </w:r>
            <w:r w:rsidR="00904CD0">
              <w:rPr>
                <w:noProof/>
                <w:webHidden/>
              </w:rPr>
              <w:t>11</w:t>
            </w:r>
            <w:r w:rsidR="00904CD0">
              <w:rPr>
                <w:noProof/>
                <w:webHidden/>
              </w:rPr>
              <w:fldChar w:fldCharType="end"/>
            </w:r>
          </w:hyperlink>
        </w:p>
        <w:p w14:paraId="19E58CE5" w14:textId="34728D26" w:rsidR="00904CD0" w:rsidRDefault="0066347A">
          <w:pPr>
            <w:pStyle w:val="TOC2"/>
            <w:tabs>
              <w:tab w:val="left" w:pos="660"/>
              <w:tab w:val="right" w:leader="dot" w:pos="9016"/>
            </w:tabs>
            <w:rPr>
              <w:rFonts w:eastAsiaTheme="minorEastAsia"/>
              <w:noProof/>
              <w:lang w:eastAsia="en-AU"/>
            </w:rPr>
          </w:pPr>
          <w:hyperlink w:anchor="_Toc7446756" w:history="1">
            <w:r w:rsidR="00904CD0" w:rsidRPr="0082709F">
              <w:rPr>
                <w:rStyle w:val="Hyperlink"/>
                <w:rFonts w:ascii="Arial" w:hAnsi="Arial" w:cs="Arial"/>
                <w:noProof/>
              </w:rPr>
              <w:t>4.</w:t>
            </w:r>
            <w:r w:rsidR="00904CD0">
              <w:rPr>
                <w:rFonts w:eastAsiaTheme="minorEastAsia"/>
                <w:noProof/>
                <w:lang w:eastAsia="en-AU"/>
              </w:rPr>
              <w:tab/>
            </w:r>
            <w:r w:rsidR="00904CD0" w:rsidRPr="0082709F">
              <w:rPr>
                <w:rStyle w:val="Hyperlink"/>
                <w:rFonts w:ascii="Arial" w:hAnsi="Arial" w:cs="Arial"/>
                <w:noProof/>
              </w:rPr>
              <w:t>Conclusion</w:t>
            </w:r>
            <w:r w:rsidR="00904CD0">
              <w:rPr>
                <w:noProof/>
                <w:webHidden/>
              </w:rPr>
              <w:tab/>
            </w:r>
            <w:r w:rsidR="00904CD0">
              <w:rPr>
                <w:noProof/>
                <w:webHidden/>
              </w:rPr>
              <w:fldChar w:fldCharType="begin"/>
            </w:r>
            <w:r w:rsidR="00904CD0">
              <w:rPr>
                <w:noProof/>
                <w:webHidden/>
              </w:rPr>
              <w:instrText xml:space="preserve"> PAGEREF _Toc7446756 \h </w:instrText>
            </w:r>
            <w:r w:rsidR="00904CD0">
              <w:rPr>
                <w:noProof/>
                <w:webHidden/>
              </w:rPr>
            </w:r>
            <w:r w:rsidR="00904CD0">
              <w:rPr>
                <w:noProof/>
                <w:webHidden/>
              </w:rPr>
              <w:fldChar w:fldCharType="separate"/>
            </w:r>
            <w:r w:rsidR="00904CD0">
              <w:rPr>
                <w:noProof/>
                <w:webHidden/>
              </w:rPr>
              <w:t>12</w:t>
            </w:r>
            <w:r w:rsidR="00904CD0">
              <w:rPr>
                <w:noProof/>
                <w:webHidden/>
              </w:rPr>
              <w:fldChar w:fldCharType="end"/>
            </w:r>
          </w:hyperlink>
        </w:p>
        <w:p w14:paraId="165AE89D" w14:textId="7F762D56" w:rsidR="00904CD0" w:rsidRDefault="0066347A">
          <w:pPr>
            <w:pStyle w:val="TOC3"/>
            <w:tabs>
              <w:tab w:val="left" w:pos="1100"/>
              <w:tab w:val="right" w:leader="dot" w:pos="9016"/>
            </w:tabs>
            <w:rPr>
              <w:rFonts w:eastAsiaTheme="minorEastAsia"/>
              <w:noProof/>
              <w:lang w:eastAsia="en-AU"/>
            </w:rPr>
          </w:pPr>
          <w:hyperlink w:anchor="_Toc7446757" w:history="1">
            <w:r w:rsidR="00904CD0" w:rsidRPr="0082709F">
              <w:rPr>
                <w:rStyle w:val="Hyperlink"/>
                <w:rFonts w:ascii="Arial" w:hAnsi="Arial" w:cs="Arial"/>
                <w:noProof/>
              </w:rPr>
              <w:t>4.1</w:t>
            </w:r>
            <w:r w:rsidR="00904CD0">
              <w:rPr>
                <w:rFonts w:eastAsiaTheme="minorEastAsia"/>
                <w:noProof/>
                <w:lang w:eastAsia="en-AU"/>
              </w:rPr>
              <w:tab/>
            </w:r>
            <w:r w:rsidR="00904CD0" w:rsidRPr="0082709F">
              <w:rPr>
                <w:rStyle w:val="Hyperlink"/>
                <w:rFonts w:ascii="Arial" w:hAnsi="Arial" w:cs="Arial"/>
                <w:noProof/>
              </w:rPr>
              <w:t>Gaps</w:t>
            </w:r>
            <w:r w:rsidR="00904CD0">
              <w:rPr>
                <w:noProof/>
                <w:webHidden/>
              </w:rPr>
              <w:tab/>
            </w:r>
            <w:r w:rsidR="00904CD0">
              <w:rPr>
                <w:noProof/>
                <w:webHidden/>
              </w:rPr>
              <w:fldChar w:fldCharType="begin"/>
            </w:r>
            <w:r w:rsidR="00904CD0">
              <w:rPr>
                <w:noProof/>
                <w:webHidden/>
              </w:rPr>
              <w:instrText xml:space="preserve"> PAGEREF _Toc7446757 \h </w:instrText>
            </w:r>
            <w:r w:rsidR="00904CD0">
              <w:rPr>
                <w:noProof/>
                <w:webHidden/>
              </w:rPr>
            </w:r>
            <w:r w:rsidR="00904CD0">
              <w:rPr>
                <w:noProof/>
                <w:webHidden/>
              </w:rPr>
              <w:fldChar w:fldCharType="separate"/>
            </w:r>
            <w:r w:rsidR="00904CD0">
              <w:rPr>
                <w:noProof/>
                <w:webHidden/>
              </w:rPr>
              <w:t>12</w:t>
            </w:r>
            <w:r w:rsidR="00904CD0">
              <w:rPr>
                <w:noProof/>
                <w:webHidden/>
              </w:rPr>
              <w:fldChar w:fldCharType="end"/>
            </w:r>
          </w:hyperlink>
        </w:p>
        <w:p w14:paraId="389A8416" w14:textId="779506DA" w:rsidR="00904CD0" w:rsidRDefault="0066347A">
          <w:pPr>
            <w:pStyle w:val="TOC3"/>
            <w:tabs>
              <w:tab w:val="left" w:pos="1100"/>
              <w:tab w:val="right" w:leader="dot" w:pos="9016"/>
            </w:tabs>
            <w:rPr>
              <w:rFonts w:eastAsiaTheme="minorEastAsia"/>
              <w:noProof/>
              <w:lang w:eastAsia="en-AU"/>
            </w:rPr>
          </w:pPr>
          <w:hyperlink w:anchor="_Toc7446758" w:history="1">
            <w:r w:rsidR="00904CD0" w:rsidRPr="0082709F">
              <w:rPr>
                <w:rStyle w:val="Hyperlink"/>
                <w:rFonts w:ascii="Arial" w:hAnsi="Arial" w:cs="Arial"/>
                <w:noProof/>
              </w:rPr>
              <w:t>4.2</w:t>
            </w:r>
            <w:r w:rsidR="00904CD0">
              <w:rPr>
                <w:rFonts w:eastAsiaTheme="minorEastAsia"/>
                <w:noProof/>
                <w:lang w:eastAsia="en-AU"/>
              </w:rPr>
              <w:tab/>
            </w:r>
            <w:r w:rsidR="00904CD0" w:rsidRPr="0082709F">
              <w:rPr>
                <w:rStyle w:val="Hyperlink"/>
                <w:rFonts w:ascii="Arial" w:hAnsi="Arial" w:cs="Arial"/>
                <w:noProof/>
              </w:rPr>
              <w:t>Themes</w:t>
            </w:r>
            <w:r w:rsidR="00904CD0">
              <w:rPr>
                <w:noProof/>
                <w:webHidden/>
              </w:rPr>
              <w:tab/>
            </w:r>
            <w:r w:rsidR="00904CD0">
              <w:rPr>
                <w:noProof/>
                <w:webHidden/>
              </w:rPr>
              <w:fldChar w:fldCharType="begin"/>
            </w:r>
            <w:r w:rsidR="00904CD0">
              <w:rPr>
                <w:noProof/>
                <w:webHidden/>
              </w:rPr>
              <w:instrText xml:space="preserve"> PAGEREF _Toc7446758 \h </w:instrText>
            </w:r>
            <w:r w:rsidR="00904CD0">
              <w:rPr>
                <w:noProof/>
                <w:webHidden/>
              </w:rPr>
            </w:r>
            <w:r w:rsidR="00904CD0">
              <w:rPr>
                <w:noProof/>
                <w:webHidden/>
              </w:rPr>
              <w:fldChar w:fldCharType="separate"/>
            </w:r>
            <w:r w:rsidR="00904CD0">
              <w:rPr>
                <w:noProof/>
                <w:webHidden/>
              </w:rPr>
              <w:t>13</w:t>
            </w:r>
            <w:r w:rsidR="00904CD0">
              <w:rPr>
                <w:noProof/>
                <w:webHidden/>
              </w:rPr>
              <w:fldChar w:fldCharType="end"/>
            </w:r>
          </w:hyperlink>
        </w:p>
        <w:p w14:paraId="5F6D0357" w14:textId="63C763BC" w:rsidR="000833FA" w:rsidRPr="000833FA" w:rsidRDefault="000833FA" w:rsidP="00716F69">
          <w:pPr>
            <w:spacing w:after="0" w:line="276" w:lineRule="auto"/>
            <w:rPr>
              <w:rFonts w:ascii="Arial" w:hAnsi="Arial" w:cs="Arial"/>
              <w:sz w:val="20"/>
              <w:szCs w:val="20"/>
            </w:rPr>
          </w:pPr>
          <w:r w:rsidRPr="000833FA">
            <w:rPr>
              <w:rFonts w:ascii="Arial" w:hAnsi="Arial" w:cs="Arial"/>
              <w:b/>
              <w:bCs/>
              <w:noProof/>
              <w:sz w:val="20"/>
              <w:szCs w:val="20"/>
            </w:rPr>
            <w:fldChar w:fldCharType="end"/>
          </w:r>
        </w:p>
      </w:sdtContent>
    </w:sdt>
    <w:p w14:paraId="6711402A" w14:textId="77777777" w:rsidR="000833FA" w:rsidRPr="000833FA" w:rsidRDefault="000833FA" w:rsidP="00716F69">
      <w:pPr>
        <w:spacing w:after="0" w:line="276" w:lineRule="auto"/>
        <w:rPr>
          <w:rFonts w:ascii="Arial" w:eastAsiaTheme="majorEastAsia" w:hAnsi="Arial" w:cs="Arial"/>
          <w:color w:val="2F5496" w:themeColor="accent1" w:themeShade="BF"/>
          <w:sz w:val="20"/>
          <w:szCs w:val="20"/>
        </w:rPr>
      </w:pPr>
      <w:r w:rsidRPr="000833FA">
        <w:rPr>
          <w:rFonts w:ascii="Arial" w:hAnsi="Arial" w:cs="Arial"/>
          <w:sz w:val="20"/>
          <w:szCs w:val="20"/>
        </w:rPr>
        <w:br w:type="page"/>
      </w:r>
    </w:p>
    <w:p w14:paraId="64EEB8EF" w14:textId="08CEDF73" w:rsidR="00F0287C" w:rsidRPr="00D55C6C" w:rsidRDefault="005E5A8E" w:rsidP="00716F69">
      <w:pPr>
        <w:pStyle w:val="Heading2"/>
        <w:spacing w:before="0" w:line="276" w:lineRule="auto"/>
        <w:rPr>
          <w:rFonts w:ascii="Arial" w:hAnsi="Arial" w:cs="Arial"/>
          <w:sz w:val="28"/>
          <w:szCs w:val="28"/>
        </w:rPr>
      </w:pPr>
      <w:bookmarkStart w:id="1" w:name="_Toc7446744"/>
      <w:r w:rsidRPr="00D55C6C">
        <w:rPr>
          <w:rFonts w:ascii="Arial" w:hAnsi="Arial" w:cs="Arial"/>
          <w:sz w:val="28"/>
          <w:szCs w:val="28"/>
        </w:rPr>
        <w:lastRenderedPageBreak/>
        <w:t>1.</w:t>
      </w:r>
      <w:r w:rsidRPr="00D55C6C">
        <w:rPr>
          <w:rFonts w:ascii="Arial" w:hAnsi="Arial" w:cs="Arial"/>
          <w:sz w:val="28"/>
          <w:szCs w:val="28"/>
        </w:rPr>
        <w:tab/>
      </w:r>
      <w:r w:rsidR="00F0287C" w:rsidRPr="00D55C6C">
        <w:rPr>
          <w:rFonts w:ascii="Arial" w:hAnsi="Arial" w:cs="Arial"/>
          <w:sz w:val="28"/>
          <w:szCs w:val="28"/>
        </w:rPr>
        <w:t>Introduction</w:t>
      </w:r>
      <w:bookmarkEnd w:id="1"/>
    </w:p>
    <w:p w14:paraId="35399399" w14:textId="44C18D82"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 xml:space="preserve">Where once there was considerable debate in Departments about the ‘role of the Commonwealth’ and therefore of its public service, this has given way to assuming that role is whatever suits a Minister, Department or central Department staff on a </w:t>
      </w:r>
      <w:r w:rsidR="00823CFF">
        <w:rPr>
          <w:rFonts w:ascii="Arial" w:hAnsi="Arial" w:cs="Arial"/>
          <w:sz w:val="20"/>
          <w:szCs w:val="20"/>
        </w:rPr>
        <w:t>given</w:t>
      </w:r>
      <w:r w:rsidRPr="000833FA">
        <w:rPr>
          <w:rFonts w:ascii="Arial" w:hAnsi="Arial" w:cs="Arial"/>
          <w:sz w:val="20"/>
          <w:szCs w:val="20"/>
        </w:rPr>
        <w:t xml:space="preserve"> day.  </w:t>
      </w:r>
    </w:p>
    <w:p w14:paraId="7CE02833" w14:textId="77777777" w:rsidR="00F0287C" w:rsidRPr="000833FA" w:rsidRDefault="00F0287C" w:rsidP="00716F69">
      <w:pPr>
        <w:spacing w:after="0" w:line="276" w:lineRule="auto"/>
        <w:rPr>
          <w:rFonts w:ascii="Arial" w:hAnsi="Arial" w:cs="Arial"/>
          <w:sz w:val="20"/>
          <w:szCs w:val="20"/>
        </w:rPr>
      </w:pPr>
    </w:p>
    <w:p w14:paraId="3E7321A4" w14:textId="0081F457"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 xml:space="preserve">Similarly, there once was research, debate and principled application of public sector governance norms.  However, this has been supplanted by verbose tomes </w:t>
      </w:r>
      <w:r w:rsidR="0038312B">
        <w:rPr>
          <w:rFonts w:ascii="Arial" w:hAnsi="Arial" w:cs="Arial"/>
          <w:sz w:val="20"/>
          <w:szCs w:val="20"/>
        </w:rPr>
        <w:t>which have engendered</w:t>
      </w:r>
      <w:r w:rsidRPr="000833FA">
        <w:rPr>
          <w:rFonts w:ascii="Arial" w:hAnsi="Arial" w:cs="Arial"/>
          <w:sz w:val="20"/>
          <w:szCs w:val="20"/>
        </w:rPr>
        <w:t xml:space="preserve"> </w:t>
      </w:r>
      <w:r w:rsidR="00355C0F" w:rsidRPr="000833FA">
        <w:rPr>
          <w:rFonts w:ascii="Arial" w:hAnsi="Arial" w:cs="Arial"/>
          <w:sz w:val="20"/>
          <w:szCs w:val="20"/>
        </w:rPr>
        <w:t>odd</w:t>
      </w:r>
      <w:r w:rsidRPr="000833FA">
        <w:rPr>
          <w:rFonts w:ascii="Arial" w:hAnsi="Arial" w:cs="Arial"/>
          <w:sz w:val="20"/>
          <w:szCs w:val="20"/>
        </w:rPr>
        <w:t xml:space="preserve"> practices, hidden agendas and concentration of power.  </w:t>
      </w:r>
    </w:p>
    <w:p w14:paraId="61DE66D2" w14:textId="77777777" w:rsidR="00F0287C" w:rsidRPr="000833FA" w:rsidRDefault="00F0287C" w:rsidP="00716F69">
      <w:pPr>
        <w:spacing w:after="0" w:line="276" w:lineRule="auto"/>
        <w:rPr>
          <w:rFonts w:ascii="Arial" w:hAnsi="Arial" w:cs="Arial"/>
          <w:sz w:val="20"/>
          <w:szCs w:val="20"/>
        </w:rPr>
      </w:pPr>
    </w:p>
    <w:p w14:paraId="2C1B62C1" w14:textId="77777777"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The results reduce confidence in public institutions and public servants.</w:t>
      </w:r>
    </w:p>
    <w:p w14:paraId="31A83F23" w14:textId="5BDB1F04" w:rsidR="00F0287C" w:rsidRDefault="00F0287C" w:rsidP="00716F69">
      <w:pPr>
        <w:spacing w:after="0" w:line="276" w:lineRule="auto"/>
        <w:rPr>
          <w:rFonts w:ascii="Arial" w:hAnsi="Arial" w:cs="Arial"/>
          <w:sz w:val="20"/>
          <w:szCs w:val="20"/>
        </w:rPr>
      </w:pPr>
    </w:p>
    <w:p w14:paraId="0041B3F9" w14:textId="77777777" w:rsidR="00D82C7F" w:rsidRPr="000833FA" w:rsidRDefault="00D82C7F" w:rsidP="00716F69">
      <w:pPr>
        <w:spacing w:after="0" w:line="276" w:lineRule="auto"/>
        <w:rPr>
          <w:rFonts w:ascii="Arial" w:hAnsi="Arial" w:cs="Arial"/>
          <w:sz w:val="20"/>
          <w:szCs w:val="20"/>
        </w:rPr>
      </w:pPr>
    </w:p>
    <w:p w14:paraId="1E8ADDF6" w14:textId="449DBD7F" w:rsidR="00F0287C" w:rsidRDefault="00F0287C" w:rsidP="00716F69">
      <w:pPr>
        <w:pStyle w:val="Heading2"/>
        <w:numPr>
          <w:ilvl w:val="0"/>
          <w:numId w:val="7"/>
        </w:numPr>
        <w:spacing w:before="0" w:line="276" w:lineRule="auto"/>
        <w:ind w:left="360"/>
        <w:rPr>
          <w:rFonts w:ascii="Arial" w:hAnsi="Arial" w:cs="Arial"/>
          <w:sz w:val="28"/>
          <w:szCs w:val="28"/>
        </w:rPr>
      </w:pPr>
      <w:bookmarkStart w:id="2" w:name="_Toc7446745"/>
      <w:r w:rsidRPr="00D55C6C">
        <w:rPr>
          <w:rFonts w:ascii="Arial" w:hAnsi="Arial" w:cs="Arial"/>
          <w:sz w:val="28"/>
          <w:szCs w:val="28"/>
        </w:rPr>
        <w:t>Democratic foundations</w:t>
      </w:r>
      <w:bookmarkEnd w:id="2"/>
    </w:p>
    <w:p w14:paraId="2B703A27" w14:textId="77777777" w:rsidR="00D82C7F" w:rsidRPr="00D82C7F" w:rsidRDefault="00D82C7F" w:rsidP="00716F69">
      <w:pPr>
        <w:pStyle w:val="Heading3"/>
        <w:spacing w:before="0" w:line="276" w:lineRule="auto"/>
        <w:rPr>
          <w:rFonts w:ascii="Arial" w:hAnsi="Arial" w:cs="Arial"/>
          <w:sz w:val="20"/>
          <w:szCs w:val="20"/>
        </w:rPr>
      </w:pPr>
    </w:p>
    <w:p w14:paraId="5071DB57" w14:textId="73A210ED" w:rsidR="00F0287C" w:rsidRPr="00850CBC" w:rsidRDefault="00F0287C" w:rsidP="00716F69">
      <w:pPr>
        <w:pStyle w:val="Heading3"/>
        <w:spacing w:before="0" w:line="276" w:lineRule="auto"/>
        <w:rPr>
          <w:rFonts w:ascii="Arial" w:hAnsi="Arial" w:cs="Arial"/>
        </w:rPr>
      </w:pPr>
      <w:bookmarkStart w:id="3" w:name="_Toc7446746"/>
      <w:r w:rsidRPr="00850CBC">
        <w:rPr>
          <w:rFonts w:ascii="Arial" w:hAnsi="Arial" w:cs="Arial"/>
        </w:rPr>
        <w:t>2.1</w:t>
      </w:r>
      <w:r w:rsidRPr="00850CBC">
        <w:rPr>
          <w:rFonts w:ascii="Arial" w:hAnsi="Arial" w:cs="Arial"/>
        </w:rPr>
        <w:tab/>
        <w:t>Framework</w:t>
      </w:r>
      <w:bookmarkEnd w:id="3"/>
    </w:p>
    <w:p w14:paraId="3AF8828E" w14:textId="77777777" w:rsidR="00F0287C" w:rsidRPr="00D82C7F" w:rsidRDefault="00F0287C" w:rsidP="00716F69">
      <w:pPr>
        <w:spacing w:after="0" w:line="276" w:lineRule="auto"/>
        <w:rPr>
          <w:rFonts w:ascii="Arial" w:hAnsi="Arial" w:cs="Arial"/>
          <w:sz w:val="20"/>
          <w:szCs w:val="20"/>
        </w:rPr>
      </w:pPr>
      <w:r w:rsidRPr="00D82C7F">
        <w:rPr>
          <w:rFonts w:ascii="Arial" w:hAnsi="Arial" w:cs="Arial"/>
          <w:sz w:val="20"/>
          <w:szCs w:val="20"/>
        </w:rPr>
        <w:t>Australia is a federation which comprises two tiers of government established by a Constitution.</w:t>
      </w:r>
      <w:r w:rsidRPr="00D82C7F">
        <w:rPr>
          <w:rStyle w:val="FootnoteReference"/>
          <w:rFonts w:ascii="Arial" w:hAnsi="Arial" w:cs="Arial"/>
          <w:sz w:val="20"/>
          <w:szCs w:val="20"/>
        </w:rPr>
        <w:footnoteReference w:id="1"/>
      </w:r>
    </w:p>
    <w:p w14:paraId="6AB55547" w14:textId="77777777" w:rsidR="00F0287C" w:rsidRPr="00D82C7F" w:rsidRDefault="00F0287C" w:rsidP="00716F69">
      <w:pPr>
        <w:spacing w:after="0" w:line="276" w:lineRule="auto"/>
        <w:rPr>
          <w:rFonts w:ascii="Arial" w:hAnsi="Arial" w:cs="Arial"/>
          <w:sz w:val="20"/>
          <w:szCs w:val="20"/>
        </w:rPr>
      </w:pPr>
    </w:p>
    <w:p w14:paraId="499580E0" w14:textId="5560B9B5" w:rsidR="00F0287C" w:rsidRPr="00D82C7F" w:rsidRDefault="00F0287C" w:rsidP="00716F69">
      <w:pPr>
        <w:spacing w:after="0" w:line="276" w:lineRule="auto"/>
        <w:rPr>
          <w:rFonts w:ascii="Arial" w:hAnsi="Arial" w:cs="Arial"/>
          <w:sz w:val="20"/>
          <w:szCs w:val="20"/>
        </w:rPr>
      </w:pPr>
      <w:r w:rsidRPr="00D82C7F">
        <w:rPr>
          <w:rFonts w:ascii="Arial" w:hAnsi="Arial" w:cs="Arial"/>
          <w:sz w:val="20"/>
          <w:szCs w:val="20"/>
        </w:rPr>
        <w:t xml:space="preserve">Both tiers embody responsible government.  In this the Government, represented by Ministers, accounts to Parliament and Parliament accounts to the people via elections.  </w:t>
      </w:r>
    </w:p>
    <w:p w14:paraId="077DE36D" w14:textId="77777777" w:rsidR="00F0287C" w:rsidRPr="00D82C7F" w:rsidRDefault="00F0287C" w:rsidP="00716F69">
      <w:pPr>
        <w:spacing w:after="0" w:line="276" w:lineRule="auto"/>
        <w:rPr>
          <w:rFonts w:ascii="Arial" w:hAnsi="Arial" w:cs="Arial"/>
          <w:sz w:val="20"/>
          <w:szCs w:val="20"/>
        </w:rPr>
      </w:pPr>
    </w:p>
    <w:p w14:paraId="038A7C1B" w14:textId="4A09B213" w:rsidR="00F0287C" w:rsidRPr="00D82C7F" w:rsidRDefault="00F0287C" w:rsidP="00716F69">
      <w:pPr>
        <w:spacing w:after="0" w:line="276" w:lineRule="auto"/>
        <w:rPr>
          <w:rFonts w:ascii="Arial" w:hAnsi="Arial" w:cs="Arial"/>
          <w:sz w:val="20"/>
          <w:szCs w:val="20"/>
        </w:rPr>
      </w:pPr>
      <w:r w:rsidRPr="00D82C7F">
        <w:rPr>
          <w:rFonts w:ascii="Arial" w:hAnsi="Arial" w:cs="Arial"/>
          <w:sz w:val="20"/>
          <w:szCs w:val="20"/>
        </w:rPr>
        <w:t>Each tier has separation of powers.  There are distinct functions of: a legislature comprising lower and upper houses of Parliament; Executive being the Government of the day having the confidence of the majority of lower house Parliamentarians; Judiciary appointed by the Executive to tenures.</w:t>
      </w:r>
    </w:p>
    <w:p w14:paraId="72C7D16D" w14:textId="77777777" w:rsidR="00F0287C" w:rsidRPr="00D82C7F" w:rsidRDefault="00F0287C" w:rsidP="00716F69">
      <w:pPr>
        <w:spacing w:after="0" w:line="276" w:lineRule="auto"/>
        <w:rPr>
          <w:rFonts w:ascii="Arial" w:hAnsi="Arial" w:cs="Arial"/>
          <w:sz w:val="20"/>
          <w:szCs w:val="20"/>
        </w:rPr>
      </w:pPr>
    </w:p>
    <w:p w14:paraId="76BA3695" w14:textId="77777777" w:rsidR="00F0287C" w:rsidRPr="00D82C7F" w:rsidRDefault="00F0287C" w:rsidP="00716F69">
      <w:pPr>
        <w:spacing w:after="0" w:line="276" w:lineRule="auto"/>
        <w:rPr>
          <w:rFonts w:ascii="Arial" w:hAnsi="Arial" w:cs="Arial"/>
          <w:sz w:val="20"/>
          <w:szCs w:val="20"/>
        </w:rPr>
      </w:pPr>
      <w:r w:rsidRPr="00D82C7F">
        <w:rPr>
          <w:rFonts w:ascii="Arial" w:hAnsi="Arial" w:cs="Arial"/>
          <w:sz w:val="20"/>
          <w:szCs w:val="20"/>
        </w:rPr>
        <w:t xml:space="preserve">The higher tier of government, the Commonwealth, has powers defined by the Constitution.  The Constitution also defines the separation of Commonwealth powers.  </w:t>
      </w:r>
    </w:p>
    <w:p w14:paraId="60CCF939" w14:textId="77777777" w:rsidR="00F0287C" w:rsidRPr="00D82C7F" w:rsidRDefault="00F0287C" w:rsidP="00716F69">
      <w:pPr>
        <w:spacing w:after="0" w:line="276" w:lineRule="auto"/>
        <w:rPr>
          <w:rFonts w:ascii="Arial" w:hAnsi="Arial" w:cs="Arial"/>
          <w:sz w:val="20"/>
          <w:szCs w:val="20"/>
        </w:rPr>
      </w:pPr>
    </w:p>
    <w:p w14:paraId="3281ECBB" w14:textId="618D0210" w:rsidR="00F0287C" w:rsidRDefault="00D82C7F" w:rsidP="00716F69">
      <w:pPr>
        <w:spacing w:after="0" w:line="276" w:lineRule="auto"/>
        <w:rPr>
          <w:rFonts w:ascii="Arial" w:hAnsi="Arial" w:cs="Arial"/>
          <w:sz w:val="20"/>
          <w:szCs w:val="20"/>
        </w:rPr>
      </w:pPr>
      <w:r>
        <w:rPr>
          <w:rFonts w:ascii="Arial" w:hAnsi="Arial" w:cs="Arial"/>
          <w:sz w:val="20"/>
          <w:szCs w:val="20"/>
        </w:rPr>
        <w:t>Its l</w:t>
      </w:r>
      <w:r w:rsidR="00F0287C" w:rsidRPr="00D82C7F">
        <w:rPr>
          <w:rFonts w:ascii="Arial" w:hAnsi="Arial" w:cs="Arial"/>
          <w:sz w:val="20"/>
          <w:szCs w:val="20"/>
        </w:rPr>
        <w:t>egislative power is vested in Parliament comprising the House of Representatives and the Senate.  In the former</w:t>
      </w:r>
      <w:r>
        <w:rPr>
          <w:rFonts w:ascii="Arial" w:hAnsi="Arial" w:cs="Arial"/>
          <w:sz w:val="20"/>
          <w:szCs w:val="20"/>
        </w:rPr>
        <w:t xml:space="preserve"> house</w:t>
      </w:r>
      <w:r w:rsidR="00F0287C" w:rsidRPr="00D82C7F">
        <w:rPr>
          <w:rFonts w:ascii="Arial" w:hAnsi="Arial" w:cs="Arial"/>
          <w:sz w:val="20"/>
          <w:szCs w:val="20"/>
        </w:rPr>
        <w:t xml:space="preserve"> Parliamentarians are elected for individual seats and represent local areas.  Senators are elected by proportional representation for each State.  The Senate is considered the States House; Senators represent States. </w:t>
      </w:r>
    </w:p>
    <w:p w14:paraId="7995166C" w14:textId="678A1BAD" w:rsidR="00B2283D" w:rsidRDefault="00B2283D" w:rsidP="00716F69">
      <w:pPr>
        <w:spacing w:after="0" w:line="276" w:lineRule="auto"/>
        <w:rPr>
          <w:rFonts w:ascii="Arial" w:hAnsi="Arial" w:cs="Arial"/>
          <w:sz w:val="20"/>
          <w:szCs w:val="20"/>
        </w:rPr>
      </w:pPr>
    </w:p>
    <w:p w14:paraId="3854B229" w14:textId="771E0B8C" w:rsidR="00B2283D" w:rsidRPr="00D82C7F" w:rsidRDefault="00B2283D" w:rsidP="00716F69">
      <w:pPr>
        <w:spacing w:after="0" w:line="276" w:lineRule="auto"/>
        <w:rPr>
          <w:rFonts w:ascii="Arial" w:hAnsi="Arial" w:cs="Arial"/>
          <w:sz w:val="20"/>
          <w:szCs w:val="20"/>
        </w:rPr>
      </w:pPr>
      <w:r>
        <w:rPr>
          <w:rFonts w:ascii="Arial" w:hAnsi="Arial" w:cs="Arial"/>
          <w:sz w:val="20"/>
          <w:szCs w:val="20"/>
        </w:rPr>
        <w:t xml:space="preserve">Executive functions are set in the Constitution.  </w:t>
      </w:r>
      <w:r w:rsidR="00D1774E">
        <w:rPr>
          <w:rFonts w:ascii="Arial" w:hAnsi="Arial" w:cs="Arial"/>
          <w:sz w:val="20"/>
          <w:szCs w:val="20"/>
        </w:rPr>
        <w:t>While p</w:t>
      </w:r>
      <w:r>
        <w:rPr>
          <w:rFonts w:ascii="Arial" w:hAnsi="Arial" w:cs="Arial"/>
          <w:sz w:val="20"/>
          <w:szCs w:val="20"/>
        </w:rPr>
        <w:t xml:space="preserve">recise delineation is evolving, the better view is: substantial parts of it require activation </w:t>
      </w:r>
      <w:r w:rsidR="00312D5C">
        <w:rPr>
          <w:rFonts w:ascii="Arial" w:hAnsi="Arial" w:cs="Arial"/>
          <w:sz w:val="20"/>
          <w:szCs w:val="20"/>
        </w:rPr>
        <w:t>(l</w:t>
      </w:r>
      <w:r>
        <w:rPr>
          <w:rFonts w:ascii="Arial" w:hAnsi="Arial" w:cs="Arial"/>
          <w:sz w:val="20"/>
          <w:szCs w:val="20"/>
        </w:rPr>
        <w:t>egislation), and all of it is controllable, by Parliament.</w:t>
      </w:r>
      <w:r w:rsidR="00DE5B7E">
        <w:rPr>
          <w:rStyle w:val="EndnoteReference"/>
          <w:rFonts w:ascii="Arial" w:hAnsi="Arial" w:cs="Arial"/>
          <w:sz w:val="20"/>
          <w:szCs w:val="20"/>
        </w:rPr>
        <w:endnoteReference w:id="1"/>
      </w:r>
    </w:p>
    <w:p w14:paraId="3D63806D" w14:textId="77777777" w:rsidR="00F0287C" w:rsidRPr="00D82C7F" w:rsidRDefault="00F0287C" w:rsidP="00716F69">
      <w:pPr>
        <w:spacing w:after="0" w:line="276" w:lineRule="auto"/>
        <w:rPr>
          <w:rFonts w:ascii="Arial" w:hAnsi="Arial" w:cs="Arial"/>
          <w:sz w:val="20"/>
          <w:szCs w:val="20"/>
        </w:rPr>
      </w:pPr>
    </w:p>
    <w:p w14:paraId="2D429BCF" w14:textId="3E6FD767" w:rsidR="00F0287C" w:rsidRPr="00D82C7F" w:rsidRDefault="00F0287C" w:rsidP="00716F69">
      <w:pPr>
        <w:spacing w:after="0" w:line="276" w:lineRule="auto"/>
        <w:rPr>
          <w:rFonts w:ascii="Arial" w:hAnsi="Arial" w:cs="Arial"/>
          <w:sz w:val="20"/>
          <w:szCs w:val="20"/>
        </w:rPr>
      </w:pPr>
      <w:r w:rsidRPr="00D82C7F">
        <w:rPr>
          <w:rFonts w:ascii="Arial" w:hAnsi="Arial" w:cs="Arial"/>
          <w:sz w:val="20"/>
          <w:szCs w:val="20"/>
        </w:rPr>
        <w:t>A part of the Commonwealth judiciary, the High Court, is the final court of appeal for all Australian jurisdictions a</w:t>
      </w:r>
      <w:r w:rsidR="00D82C7F">
        <w:rPr>
          <w:rFonts w:ascii="Arial" w:hAnsi="Arial" w:cs="Arial"/>
          <w:sz w:val="20"/>
          <w:szCs w:val="20"/>
        </w:rPr>
        <w:t>nd</w:t>
      </w:r>
      <w:r w:rsidRPr="00D82C7F">
        <w:rPr>
          <w:rFonts w:ascii="Arial" w:hAnsi="Arial" w:cs="Arial"/>
          <w:sz w:val="20"/>
          <w:szCs w:val="20"/>
        </w:rPr>
        <w:t xml:space="preserve"> adjudicator of Constitutional disputes</w:t>
      </w:r>
      <w:r w:rsidR="00B2283D">
        <w:rPr>
          <w:rFonts w:ascii="Arial" w:hAnsi="Arial" w:cs="Arial"/>
          <w:sz w:val="20"/>
          <w:szCs w:val="20"/>
        </w:rPr>
        <w:t>, including the extent of Commonwealth and Executive power</w:t>
      </w:r>
      <w:r w:rsidRPr="00D82C7F">
        <w:rPr>
          <w:rFonts w:ascii="Arial" w:hAnsi="Arial" w:cs="Arial"/>
          <w:sz w:val="20"/>
          <w:szCs w:val="20"/>
        </w:rPr>
        <w:t>.</w:t>
      </w:r>
    </w:p>
    <w:p w14:paraId="6F600F3D" w14:textId="77777777" w:rsidR="00F0287C" w:rsidRPr="000833FA" w:rsidRDefault="00F0287C" w:rsidP="00716F69">
      <w:pPr>
        <w:pStyle w:val="Heading3"/>
        <w:spacing w:before="0" w:line="276" w:lineRule="auto"/>
        <w:rPr>
          <w:rFonts w:ascii="Arial" w:hAnsi="Arial" w:cs="Arial"/>
          <w:sz w:val="20"/>
          <w:szCs w:val="20"/>
        </w:rPr>
      </w:pPr>
    </w:p>
    <w:p w14:paraId="53359C75" w14:textId="77777777" w:rsidR="00F0287C" w:rsidRPr="00850CBC" w:rsidRDefault="00F0287C" w:rsidP="00716F69">
      <w:pPr>
        <w:pStyle w:val="Heading3"/>
        <w:spacing w:before="0" w:line="276" w:lineRule="auto"/>
        <w:rPr>
          <w:rFonts w:ascii="Arial" w:hAnsi="Arial" w:cs="Arial"/>
        </w:rPr>
      </w:pPr>
      <w:bookmarkStart w:id="4" w:name="_Toc7446747"/>
      <w:r w:rsidRPr="00850CBC">
        <w:rPr>
          <w:rFonts w:ascii="Arial" w:hAnsi="Arial" w:cs="Arial"/>
        </w:rPr>
        <w:t>2.2</w:t>
      </w:r>
      <w:r w:rsidRPr="00850CBC">
        <w:rPr>
          <w:rFonts w:ascii="Arial" w:hAnsi="Arial" w:cs="Arial"/>
        </w:rPr>
        <w:tab/>
        <w:t>Relevance of framework to the public service</w:t>
      </w:r>
      <w:bookmarkEnd w:id="4"/>
    </w:p>
    <w:p w14:paraId="4AC013BD" w14:textId="59CA1A4E" w:rsidR="00F0287C" w:rsidRPr="000833FA" w:rsidRDefault="00F0287C" w:rsidP="00716F69">
      <w:pPr>
        <w:pStyle w:val="Heading4"/>
        <w:spacing w:before="0" w:line="276" w:lineRule="auto"/>
        <w:rPr>
          <w:rFonts w:ascii="Arial" w:hAnsi="Arial" w:cs="Arial"/>
          <w:sz w:val="20"/>
          <w:szCs w:val="20"/>
        </w:rPr>
      </w:pPr>
      <w:r w:rsidRPr="000833FA">
        <w:rPr>
          <w:rFonts w:ascii="Arial" w:hAnsi="Arial" w:cs="Arial"/>
          <w:sz w:val="20"/>
          <w:szCs w:val="20"/>
        </w:rPr>
        <w:t>Departments as part of Executive Government</w:t>
      </w:r>
    </w:p>
    <w:p w14:paraId="45C20E54" w14:textId="76D24673"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 xml:space="preserve">Public service Departments are created by </w:t>
      </w:r>
      <w:r w:rsidR="00D1774E">
        <w:rPr>
          <w:rFonts w:ascii="Arial" w:hAnsi="Arial" w:cs="Arial"/>
          <w:sz w:val="20"/>
          <w:szCs w:val="20"/>
        </w:rPr>
        <w:t>A</w:t>
      </w:r>
      <w:r w:rsidRPr="000833FA">
        <w:rPr>
          <w:rFonts w:ascii="Arial" w:hAnsi="Arial" w:cs="Arial"/>
          <w:sz w:val="20"/>
          <w:szCs w:val="20"/>
        </w:rPr>
        <w:t xml:space="preserve">dministrative </w:t>
      </w:r>
      <w:r w:rsidR="00D1774E">
        <w:rPr>
          <w:rFonts w:ascii="Arial" w:hAnsi="Arial" w:cs="Arial"/>
          <w:sz w:val="20"/>
          <w:szCs w:val="20"/>
        </w:rPr>
        <w:t>Arrangements O</w:t>
      </w:r>
      <w:r w:rsidRPr="000833FA">
        <w:rPr>
          <w:rFonts w:ascii="Arial" w:hAnsi="Arial" w:cs="Arial"/>
          <w:sz w:val="20"/>
          <w:szCs w:val="20"/>
        </w:rPr>
        <w:t>rders.</w:t>
      </w:r>
      <w:r w:rsidR="00DE5B7E" w:rsidRPr="000833FA">
        <w:rPr>
          <w:rStyle w:val="FootnoteReference"/>
          <w:rFonts w:ascii="Arial" w:hAnsi="Arial" w:cs="Arial"/>
          <w:sz w:val="20"/>
          <w:szCs w:val="20"/>
        </w:rPr>
        <w:footnoteReference w:id="2"/>
      </w:r>
      <w:r w:rsidRPr="000833FA">
        <w:rPr>
          <w:rFonts w:ascii="Arial" w:hAnsi="Arial" w:cs="Arial"/>
          <w:sz w:val="20"/>
          <w:szCs w:val="20"/>
        </w:rPr>
        <w:t xml:space="preserve">  The orders allocate functions to Ministerial portfolios.</w:t>
      </w:r>
    </w:p>
    <w:p w14:paraId="40AC9018" w14:textId="77777777" w:rsidR="00F0287C" w:rsidRPr="000833FA" w:rsidRDefault="00F0287C" w:rsidP="00716F69">
      <w:pPr>
        <w:spacing w:after="0" w:line="276" w:lineRule="auto"/>
        <w:rPr>
          <w:rFonts w:ascii="Arial" w:hAnsi="Arial" w:cs="Arial"/>
          <w:sz w:val="20"/>
          <w:szCs w:val="20"/>
        </w:rPr>
      </w:pPr>
    </w:p>
    <w:p w14:paraId="0C7E262A" w14:textId="56ADFC9C" w:rsidR="00415D21" w:rsidRPr="000833FA" w:rsidRDefault="00F0287C" w:rsidP="00716F69">
      <w:pPr>
        <w:spacing w:after="0" w:line="276" w:lineRule="auto"/>
        <w:rPr>
          <w:rFonts w:ascii="Arial" w:hAnsi="Arial" w:cs="Arial"/>
          <w:sz w:val="20"/>
          <w:szCs w:val="20"/>
        </w:rPr>
      </w:pPr>
      <w:r w:rsidRPr="000833FA">
        <w:rPr>
          <w:rFonts w:ascii="Arial" w:hAnsi="Arial" w:cs="Arial"/>
          <w:sz w:val="20"/>
          <w:szCs w:val="20"/>
        </w:rPr>
        <w:t xml:space="preserve">Such Departments are </w:t>
      </w:r>
      <w:r w:rsidR="004C0115">
        <w:rPr>
          <w:rFonts w:ascii="Arial" w:hAnsi="Arial" w:cs="Arial"/>
          <w:sz w:val="20"/>
          <w:szCs w:val="20"/>
        </w:rPr>
        <w:t>part of</w:t>
      </w:r>
      <w:r w:rsidRPr="000833FA">
        <w:rPr>
          <w:rFonts w:ascii="Arial" w:hAnsi="Arial" w:cs="Arial"/>
          <w:sz w:val="20"/>
          <w:szCs w:val="20"/>
        </w:rPr>
        <w:t xml:space="preserve"> the Executive.  They have dual functions: to advise Ministers; to represent the Government.</w:t>
      </w:r>
      <w:r w:rsidR="004C0115">
        <w:rPr>
          <w:rFonts w:ascii="Arial" w:hAnsi="Arial" w:cs="Arial"/>
          <w:sz w:val="20"/>
          <w:szCs w:val="20"/>
        </w:rPr>
        <w:t xml:space="preserve">  The latter </w:t>
      </w:r>
      <w:r w:rsidRPr="000833FA">
        <w:rPr>
          <w:rFonts w:ascii="Arial" w:hAnsi="Arial" w:cs="Arial"/>
          <w:sz w:val="20"/>
          <w:szCs w:val="20"/>
        </w:rPr>
        <w:t xml:space="preserve">includes execution of legislation.  This may involve exercise of powers delegated to the Minister, such as for </w:t>
      </w:r>
      <w:r w:rsidR="00716F69">
        <w:rPr>
          <w:rFonts w:ascii="Arial" w:hAnsi="Arial" w:cs="Arial"/>
          <w:sz w:val="20"/>
          <w:szCs w:val="20"/>
        </w:rPr>
        <w:t xml:space="preserve">spending or </w:t>
      </w:r>
      <w:r w:rsidRPr="000833FA">
        <w:rPr>
          <w:rFonts w:ascii="Arial" w:hAnsi="Arial" w:cs="Arial"/>
          <w:sz w:val="20"/>
          <w:szCs w:val="20"/>
        </w:rPr>
        <w:t>collecti</w:t>
      </w:r>
      <w:r w:rsidR="00716F69">
        <w:rPr>
          <w:rFonts w:ascii="Arial" w:hAnsi="Arial" w:cs="Arial"/>
          <w:sz w:val="20"/>
          <w:szCs w:val="20"/>
        </w:rPr>
        <w:t>ng</w:t>
      </w:r>
      <w:r w:rsidRPr="000833FA">
        <w:rPr>
          <w:rFonts w:ascii="Arial" w:hAnsi="Arial" w:cs="Arial"/>
          <w:sz w:val="20"/>
          <w:szCs w:val="20"/>
        </w:rPr>
        <w:t xml:space="preserve"> public monies.</w:t>
      </w:r>
    </w:p>
    <w:p w14:paraId="1044ADBE" w14:textId="3E5CE306"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 xml:space="preserve">  </w:t>
      </w:r>
    </w:p>
    <w:p w14:paraId="35C9F9F6" w14:textId="77777777"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lastRenderedPageBreak/>
        <w:t xml:space="preserve">Other forms of representation include: promulgation of policy; information about public sector services; appearances in proceedings such as Parliamentary Committees, international forums. </w:t>
      </w:r>
    </w:p>
    <w:p w14:paraId="20873097" w14:textId="77777777" w:rsidR="00F0287C" w:rsidRPr="000833FA" w:rsidRDefault="00F0287C" w:rsidP="00716F69">
      <w:pPr>
        <w:spacing w:after="0" w:line="276" w:lineRule="auto"/>
        <w:rPr>
          <w:rFonts w:ascii="Arial" w:hAnsi="Arial" w:cs="Arial"/>
          <w:sz w:val="20"/>
          <w:szCs w:val="20"/>
        </w:rPr>
      </w:pPr>
    </w:p>
    <w:p w14:paraId="7D5FE752" w14:textId="6994A4CB"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Such Departments are not responsible to the public.  They are responsible to the relevant Minister.  The Departments do not serve the public except through the Minister</w:t>
      </w:r>
      <w:r w:rsidR="00B2283D">
        <w:rPr>
          <w:rFonts w:ascii="Arial" w:hAnsi="Arial" w:cs="Arial"/>
          <w:sz w:val="20"/>
          <w:szCs w:val="20"/>
        </w:rPr>
        <w:t xml:space="preserve"> and then Parliament.</w:t>
      </w:r>
      <w:r w:rsidRPr="000833FA">
        <w:rPr>
          <w:rStyle w:val="EndnoteReference"/>
          <w:rFonts w:ascii="Arial" w:hAnsi="Arial" w:cs="Arial"/>
          <w:sz w:val="20"/>
          <w:szCs w:val="20"/>
        </w:rPr>
        <w:endnoteReference w:id="2"/>
      </w:r>
      <w:r w:rsidRPr="000833FA">
        <w:rPr>
          <w:rFonts w:ascii="Arial" w:hAnsi="Arial" w:cs="Arial"/>
          <w:sz w:val="20"/>
          <w:szCs w:val="20"/>
        </w:rPr>
        <w:t xml:space="preserve">  </w:t>
      </w:r>
    </w:p>
    <w:p w14:paraId="633A2627" w14:textId="77777777" w:rsidR="00F0287C" w:rsidRPr="000833FA" w:rsidRDefault="00F0287C" w:rsidP="00716F69">
      <w:pPr>
        <w:spacing w:after="0" w:line="276" w:lineRule="auto"/>
        <w:rPr>
          <w:rFonts w:ascii="Arial" w:hAnsi="Arial" w:cs="Arial"/>
          <w:sz w:val="20"/>
          <w:szCs w:val="20"/>
        </w:rPr>
      </w:pPr>
    </w:p>
    <w:p w14:paraId="48D69FA0" w14:textId="77777777" w:rsidR="00F0287C" w:rsidRPr="000833FA" w:rsidRDefault="00F0287C" w:rsidP="00716F69">
      <w:pPr>
        <w:pStyle w:val="Heading4"/>
        <w:spacing w:before="0" w:line="276" w:lineRule="auto"/>
        <w:rPr>
          <w:rFonts w:ascii="Arial" w:hAnsi="Arial" w:cs="Arial"/>
          <w:sz w:val="20"/>
          <w:szCs w:val="20"/>
        </w:rPr>
      </w:pPr>
      <w:r w:rsidRPr="000833FA">
        <w:rPr>
          <w:rFonts w:ascii="Arial" w:hAnsi="Arial" w:cs="Arial"/>
          <w:sz w:val="20"/>
          <w:szCs w:val="20"/>
        </w:rPr>
        <w:t>Organisations outside Executive Government</w:t>
      </w:r>
    </w:p>
    <w:p w14:paraId="6CB6A7D2" w14:textId="7C6E8565"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 xml:space="preserve">There is another class of government organisation which </w:t>
      </w:r>
      <w:r w:rsidR="00B2283D">
        <w:rPr>
          <w:rFonts w:ascii="Arial" w:hAnsi="Arial" w:cs="Arial"/>
          <w:sz w:val="20"/>
          <w:szCs w:val="20"/>
        </w:rPr>
        <w:t xml:space="preserve">employs </w:t>
      </w:r>
      <w:r w:rsidR="00716F69">
        <w:rPr>
          <w:rFonts w:ascii="Arial" w:hAnsi="Arial" w:cs="Arial"/>
          <w:sz w:val="20"/>
          <w:szCs w:val="20"/>
        </w:rPr>
        <w:t xml:space="preserve">members of the </w:t>
      </w:r>
      <w:r w:rsidRPr="000833FA">
        <w:rPr>
          <w:rFonts w:ascii="Arial" w:hAnsi="Arial" w:cs="Arial"/>
          <w:sz w:val="20"/>
          <w:szCs w:val="20"/>
        </w:rPr>
        <w:t xml:space="preserve">Australian </w:t>
      </w:r>
      <w:r w:rsidR="00716F69">
        <w:rPr>
          <w:rFonts w:ascii="Arial" w:hAnsi="Arial" w:cs="Arial"/>
          <w:sz w:val="20"/>
          <w:szCs w:val="20"/>
        </w:rPr>
        <w:t>P</w:t>
      </w:r>
      <w:r w:rsidRPr="000833FA">
        <w:rPr>
          <w:rFonts w:ascii="Arial" w:hAnsi="Arial" w:cs="Arial"/>
          <w:sz w:val="20"/>
          <w:szCs w:val="20"/>
        </w:rPr>
        <w:t xml:space="preserve">ublic </w:t>
      </w:r>
      <w:r w:rsidR="00716F69">
        <w:rPr>
          <w:rFonts w:ascii="Arial" w:hAnsi="Arial" w:cs="Arial"/>
          <w:sz w:val="20"/>
          <w:szCs w:val="20"/>
        </w:rPr>
        <w:t>Service</w:t>
      </w:r>
      <w:r w:rsidRPr="000833FA">
        <w:rPr>
          <w:rFonts w:ascii="Arial" w:hAnsi="Arial" w:cs="Arial"/>
          <w:sz w:val="20"/>
          <w:szCs w:val="20"/>
        </w:rPr>
        <w:t>.  These are Statutory Authorities, created by legislation.</w:t>
      </w:r>
      <w:r w:rsidR="00DE5B7E">
        <w:rPr>
          <w:rStyle w:val="EndnoteReference"/>
          <w:rFonts w:ascii="Arial" w:hAnsi="Arial" w:cs="Arial"/>
          <w:sz w:val="20"/>
          <w:szCs w:val="20"/>
        </w:rPr>
        <w:endnoteReference w:id="3"/>
      </w:r>
      <w:r w:rsidRPr="000833FA">
        <w:rPr>
          <w:rFonts w:ascii="Arial" w:hAnsi="Arial" w:cs="Arial"/>
          <w:sz w:val="20"/>
          <w:szCs w:val="20"/>
        </w:rPr>
        <w:t xml:space="preserve">  </w:t>
      </w:r>
    </w:p>
    <w:p w14:paraId="3651164E" w14:textId="77777777" w:rsidR="00F0287C" w:rsidRPr="000833FA" w:rsidRDefault="00F0287C" w:rsidP="00716F69">
      <w:pPr>
        <w:spacing w:after="0" w:line="276" w:lineRule="auto"/>
        <w:rPr>
          <w:rFonts w:ascii="Arial" w:hAnsi="Arial" w:cs="Arial"/>
          <w:sz w:val="20"/>
          <w:szCs w:val="20"/>
        </w:rPr>
      </w:pPr>
    </w:p>
    <w:p w14:paraId="5FD18148" w14:textId="77777777"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 xml:space="preserve">As a creation of the Parliament, these organisations serve that institution and not the Executive.  </w:t>
      </w:r>
    </w:p>
    <w:p w14:paraId="035983EC" w14:textId="77777777" w:rsidR="00F0287C" w:rsidRPr="000833FA" w:rsidRDefault="00F0287C" w:rsidP="00716F69">
      <w:pPr>
        <w:spacing w:after="0" w:line="276" w:lineRule="auto"/>
        <w:rPr>
          <w:rFonts w:ascii="Arial" w:hAnsi="Arial" w:cs="Arial"/>
          <w:sz w:val="20"/>
          <w:szCs w:val="20"/>
        </w:rPr>
      </w:pPr>
    </w:p>
    <w:p w14:paraId="135E69B6" w14:textId="77777777" w:rsidR="004C0115" w:rsidRPr="000833FA" w:rsidRDefault="004C0115" w:rsidP="004C0115">
      <w:pPr>
        <w:spacing w:after="0" w:line="276" w:lineRule="auto"/>
        <w:rPr>
          <w:rFonts w:ascii="Arial" w:hAnsi="Arial" w:cs="Arial"/>
          <w:sz w:val="20"/>
          <w:szCs w:val="20"/>
        </w:rPr>
      </w:pPr>
      <w:r w:rsidRPr="000833FA">
        <w:rPr>
          <w:rFonts w:ascii="Arial" w:hAnsi="Arial" w:cs="Arial"/>
          <w:sz w:val="20"/>
          <w:szCs w:val="20"/>
        </w:rPr>
        <w:t>Authorities do not have a primary responsibility of advising a Minister.  Nor do they represent the Government.  They are sometimes inaccurately referred to as ‘independent agencies’.</w:t>
      </w:r>
      <w:r w:rsidRPr="000833FA">
        <w:rPr>
          <w:rStyle w:val="EndnoteReference"/>
          <w:rFonts w:ascii="Arial" w:hAnsi="Arial" w:cs="Arial"/>
          <w:sz w:val="20"/>
          <w:szCs w:val="20"/>
        </w:rPr>
        <w:endnoteReference w:id="4"/>
      </w:r>
    </w:p>
    <w:p w14:paraId="7D6288FA" w14:textId="77777777" w:rsidR="004C0115" w:rsidRDefault="004C0115" w:rsidP="00716F69">
      <w:pPr>
        <w:spacing w:after="0" w:line="276" w:lineRule="auto"/>
        <w:rPr>
          <w:rFonts w:ascii="Arial" w:hAnsi="Arial" w:cs="Arial"/>
          <w:sz w:val="20"/>
          <w:szCs w:val="20"/>
        </w:rPr>
      </w:pPr>
    </w:p>
    <w:p w14:paraId="1C26A344" w14:textId="2AAE5794"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 xml:space="preserve">For convenience the relevant legislation often nominates a Minister for the purpose of informing the Parliament on accountability matters etc.  </w:t>
      </w:r>
    </w:p>
    <w:p w14:paraId="115239D4" w14:textId="77777777" w:rsidR="00F0287C" w:rsidRPr="000833FA" w:rsidRDefault="00F0287C" w:rsidP="00716F69">
      <w:pPr>
        <w:spacing w:after="0" w:line="276" w:lineRule="auto"/>
        <w:rPr>
          <w:rFonts w:ascii="Arial" w:hAnsi="Arial" w:cs="Arial"/>
          <w:sz w:val="20"/>
          <w:szCs w:val="20"/>
        </w:rPr>
      </w:pPr>
    </w:p>
    <w:p w14:paraId="25D9D66F" w14:textId="4ABE7304" w:rsidR="00F0287C" w:rsidRPr="000833FA" w:rsidRDefault="004C0115" w:rsidP="00716F69">
      <w:pPr>
        <w:spacing w:after="0" w:line="276" w:lineRule="auto"/>
        <w:rPr>
          <w:rFonts w:ascii="Arial" w:hAnsi="Arial" w:cs="Arial"/>
          <w:sz w:val="20"/>
          <w:szCs w:val="20"/>
        </w:rPr>
      </w:pPr>
      <w:r>
        <w:rPr>
          <w:rFonts w:ascii="Arial" w:hAnsi="Arial" w:cs="Arial"/>
          <w:sz w:val="20"/>
          <w:szCs w:val="20"/>
        </w:rPr>
        <w:t>For current purposes</w:t>
      </w:r>
      <w:r w:rsidR="00F0287C" w:rsidRPr="000833FA">
        <w:rPr>
          <w:rFonts w:ascii="Arial" w:hAnsi="Arial" w:cs="Arial"/>
          <w:sz w:val="20"/>
          <w:szCs w:val="20"/>
        </w:rPr>
        <w:t xml:space="preserve"> there are three sub-classes of Authorities: those which provide advice; those which provide public services; those which trade.</w:t>
      </w:r>
      <w:r w:rsidR="00F0287C" w:rsidRPr="000833FA">
        <w:rPr>
          <w:rStyle w:val="EndnoteReference"/>
          <w:rFonts w:ascii="Arial" w:hAnsi="Arial" w:cs="Arial"/>
          <w:sz w:val="20"/>
          <w:szCs w:val="20"/>
        </w:rPr>
        <w:endnoteReference w:id="5"/>
      </w:r>
    </w:p>
    <w:p w14:paraId="3104172C" w14:textId="77777777" w:rsidR="00F0287C" w:rsidRPr="000833FA" w:rsidRDefault="00F0287C" w:rsidP="00716F69">
      <w:pPr>
        <w:spacing w:after="0" w:line="276" w:lineRule="auto"/>
        <w:rPr>
          <w:rFonts w:ascii="Arial" w:hAnsi="Arial" w:cs="Arial"/>
          <w:sz w:val="20"/>
          <w:szCs w:val="20"/>
        </w:rPr>
      </w:pPr>
    </w:p>
    <w:p w14:paraId="04F9CB54" w14:textId="24E44663" w:rsidR="00F0287C" w:rsidRPr="000833FA" w:rsidRDefault="00F0287C" w:rsidP="00716F69">
      <w:pPr>
        <w:pStyle w:val="Heading4"/>
        <w:spacing w:before="0" w:line="276" w:lineRule="auto"/>
        <w:rPr>
          <w:rFonts w:ascii="Arial" w:hAnsi="Arial" w:cs="Arial"/>
          <w:sz w:val="20"/>
          <w:szCs w:val="20"/>
        </w:rPr>
      </w:pPr>
      <w:r w:rsidRPr="000833FA">
        <w:rPr>
          <w:rFonts w:ascii="Arial" w:hAnsi="Arial" w:cs="Arial"/>
          <w:sz w:val="20"/>
          <w:szCs w:val="20"/>
        </w:rPr>
        <w:t xml:space="preserve">Public </w:t>
      </w:r>
      <w:r w:rsidR="00850CBC">
        <w:rPr>
          <w:rFonts w:ascii="Arial" w:hAnsi="Arial" w:cs="Arial"/>
          <w:sz w:val="20"/>
          <w:szCs w:val="20"/>
        </w:rPr>
        <w:t>S</w:t>
      </w:r>
      <w:r w:rsidRPr="000833FA">
        <w:rPr>
          <w:rFonts w:ascii="Arial" w:hAnsi="Arial" w:cs="Arial"/>
          <w:sz w:val="20"/>
          <w:szCs w:val="20"/>
        </w:rPr>
        <w:t>ervice</w:t>
      </w:r>
    </w:p>
    <w:p w14:paraId="7DFA0EE8" w14:textId="20B47530"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 xml:space="preserve">There is </w:t>
      </w:r>
      <w:r w:rsidR="005F65B2" w:rsidRPr="000833FA">
        <w:rPr>
          <w:rFonts w:ascii="Arial" w:hAnsi="Arial" w:cs="Arial"/>
          <w:sz w:val="20"/>
          <w:szCs w:val="20"/>
        </w:rPr>
        <w:t xml:space="preserve">a Public Service Act which is amended from time to time.  As expected, it </w:t>
      </w:r>
      <w:r w:rsidRPr="000833FA">
        <w:rPr>
          <w:rFonts w:ascii="Arial" w:hAnsi="Arial" w:cs="Arial"/>
          <w:sz w:val="20"/>
          <w:szCs w:val="20"/>
        </w:rPr>
        <w:t>deal</w:t>
      </w:r>
      <w:r w:rsidR="005F65B2" w:rsidRPr="000833FA">
        <w:rPr>
          <w:rFonts w:ascii="Arial" w:hAnsi="Arial" w:cs="Arial"/>
          <w:sz w:val="20"/>
          <w:szCs w:val="20"/>
        </w:rPr>
        <w:t>s</w:t>
      </w:r>
      <w:r w:rsidRPr="000833FA">
        <w:rPr>
          <w:rFonts w:ascii="Arial" w:hAnsi="Arial" w:cs="Arial"/>
          <w:sz w:val="20"/>
          <w:szCs w:val="20"/>
        </w:rPr>
        <w:t xml:space="preserve"> with public serv</w:t>
      </w:r>
      <w:r w:rsidR="005F65B2" w:rsidRPr="000833FA">
        <w:rPr>
          <w:rFonts w:ascii="Arial" w:hAnsi="Arial" w:cs="Arial"/>
          <w:sz w:val="20"/>
          <w:szCs w:val="20"/>
        </w:rPr>
        <w:t>ice</w:t>
      </w:r>
      <w:r w:rsidRPr="000833FA">
        <w:rPr>
          <w:rFonts w:ascii="Arial" w:hAnsi="Arial" w:cs="Arial"/>
          <w:sz w:val="20"/>
          <w:szCs w:val="20"/>
        </w:rPr>
        <w:t xml:space="preserve"> recruitment, employment, etc.</w:t>
      </w:r>
      <w:r w:rsidRPr="000833FA">
        <w:rPr>
          <w:rStyle w:val="EndnoteReference"/>
          <w:rFonts w:ascii="Arial" w:hAnsi="Arial" w:cs="Arial"/>
          <w:sz w:val="20"/>
          <w:szCs w:val="20"/>
        </w:rPr>
        <w:endnoteReference w:id="6"/>
      </w:r>
      <w:r w:rsidRPr="000833FA">
        <w:rPr>
          <w:rFonts w:ascii="Arial" w:hAnsi="Arial" w:cs="Arial"/>
          <w:sz w:val="20"/>
          <w:szCs w:val="20"/>
        </w:rPr>
        <w:t xml:space="preserve">  </w:t>
      </w:r>
    </w:p>
    <w:p w14:paraId="5230A966" w14:textId="2FDF8127" w:rsidR="005F65B2" w:rsidRPr="000833FA" w:rsidRDefault="005F65B2" w:rsidP="00716F69">
      <w:pPr>
        <w:spacing w:after="0" w:line="276" w:lineRule="auto"/>
        <w:rPr>
          <w:rFonts w:ascii="Arial" w:hAnsi="Arial" w:cs="Arial"/>
          <w:sz w:val="20"/>
          <w:szCs w:val="20"/>
        </w:rPr>
      </w:pPr>
    </w:p>
    <w:p w14:paraId="763DC856" w14:textId="339D7202" w:rsidR="005F65B2" w:rsidRPr="000833FA" w:rsidRDefault="005F65B2" w:rsidP="00716F69">
      <w:pPr>
        <w:spacing w:after="0" w:line="276" w:lineRule="auto"/>
        <w:rPr>
          <w:rFonts w:ascii="Arial" w:hAnsi="Arial" w:cs="Arial"/>
          <w:sz w:val="20"/>
          <w:szCs w:val="20"/>
        </w:rPr>
      </w:pPr>
      <w:r w:rsidRPr="000833FA">
        <w:rPr>
          <w:rFonts w:ascii="Arial" w:hAnsi="Arial" w:cs="Arial"/>
          <w:sz w:val="20"/>
          <w:szCs w:val="20"/>
        </w:rPr>
        <w:t xml:space="preserve">However, it does more.  It creates </w:t>
      </w:r>
      <w:r w:rsidR="00355C0F" w:rsidRPr="000833FA">
        <w:rPr>
          <w:rFonts w:ascii="Arial" w:hAnsi="Arial" w:cs="Arial"/>
          <w:sz w:val="20"/>
          <w:szCs w:val="20"/>
        </w:rPr>
        <w:t xml:space="preserve">an </w:t>
      </w:r>
      <w:r w:rsidRPr="000833FA">
        <w:rPr>
          <w:rFonts w:ascii="Arial" w:hAnsi="Arial" w:cs="Arial"/>
          <w:sz w:val="20"/>
          <w:szCs w:val="20"/>
        </w:rPr>
        <w:t xml:space="preserve">Australian Public Service comprising appointed heads of Departments and Authorities and their employees.  Some processes for appointments are specified. It sets some expectations for public servants including ‘values’ and a code of conduct.  It establishes overview mechanisms including a Public Service Commissioner and </w:t>
      </w:r>
      <w:r w:rsidR="00786F50" w:rsidRPr="000833FA">
        <w:rPr>
          <w:rFonts w:ascii="Arial" w:hAnsi="Arial" w:cs="Arial"/>
          <w:sz w:val="20"/>
          <w:szCs w:val="20"/>
        </w:rPr>
        <w:t xml:space="preserve">a </w:t>
      </w:r>
      <w:r w:rsidRPr="000833FA">
        <w:rPr>
          <w:rFonts w:ascii="Arial" w:hAnsi="Arial" w:cs="Arial"/>
          <w:sz w:val="20"/>
          <w:szCs w:val="20"/>
        </w:rPr>
        <w:t>Secretaries Board.</w:t>
      </w:r>
    </w:p>
    <w:p w14:paraId="76AC22CC" w14:textId="77777777" w:rsidR="005F65B2" w:rsidRPr="000833FA" w:rsidRDefault="005F65B2" w:rsidP="00716F69">
      <w:pPr>
        <w:spacing w:after="0" w:line="276" w:lineRule="auto"/>
        <w:rPr>
          <w:rFonts w:ascii="Arial" w:hAnsi="Arial" w:cs="Arial"/>
          <w:sz w:val="20"/>
          <w:szCs w:val="20"/>
        </w:rPr>
      </w:pPr>
    </w:p>
    <w:p w14:paraId="6275A5AE" w14:textId="2DF37A59" w:rsidR="00716F69" w:rsidRDefault="005F65B2" w:rsidP="00716F69">
      <w:pPr>
        <w:spacing w:after="0" w:line="276" w:lineRule="auto"/>
        <w:rPr>
          <w:rFonts w:ascii="Arial" w:hAnsi="Arial" w:cs="Arial"/>
          <w:sz w:val="20"/>
          <w:szCs w:val="20"/>
        </w:rPr>
      </w:pPr>
      <w:r w:rsidRPr="000833FA">
        <w:rPr>
          <w:rFonts w:ascii="Arial" w:hAnsi="Arial" w:cs="Arial"/>
          <w:sz w:val="20"/>
          <w:szCs w:val="20"/>
        </w:rPr>
        <w:t xml:space="preserve">While some </w:t>
      </w:r>
      <w:r w:rsidR="004C0115">
        <w:rPr>
          <w:rFonts w:ascii="Arial" w:hAnsi="Arial" w:cs="Arial"/>
          <w:sz w:val="20"/>
          <w:szCs w:val="20"/>
        </w:rPr>
        <w:t xml:space="preserve">may </w:t>
      </w:r>
      <w:r w:rsidRPr="000833FA">
        <w:rPr>
          <w:rFonts w:ascii="Arial" w:hAnsi="Arial" w:cs="Arial"/>
          <w:sz w:val="20"/>
          <w:szCs w:val="20"/>
        </w:rPr>
        <w:t xml:space="preserve">see the Act as creating an institution, </w:t>
      </w:r>
      <w:r w:rsidR="00B2283D">
        <w:rPr>
          <w:rFonts w:ascii="Arial" w:hAnsi="Arial" w:cs="Arial"/>
          <w:sz w:val="20"/>
          <w:szCs w:val="20"/>
        </w:rPr>
        <w:t>such a view is wrong</w:t>
      </w:r>
      <w:r w:rsidRPr="000833FA">
        <w:rPr>
          <w:rFonts w:ascii="Arial" w:hAnsi="Arial" w:cs="Arial"/>
          <w:sz w:val="20"/>
          <w:szCs w:val="20"/>
        </w:rPr>
        <w:t xml:space="preserve">.  The </w:t>
      </w:r>
      <w:r w:rsidR="00786F50" w:rsidRPr="000833FA">
        <w:rPr>
          <w:rFonts w:ascii="Arial" w:hAnsi="Arial" w:cs="Arial"/>
          <w:sz w:val="20"/>
          <w:szCs w:val="20"/>
        </w:rPr>
        <w:t xml:space="preserve">Act is insufficient to create an </w:t>
      </w:r>
      <w:r w:rsidRPr="000833FA">
        <w:rPr>
          <w:rFonts w:ascii="Arial" w:hAnsi="Arial" w:cs="Arial"/>
          <w:sz w:val="20"/>
          <w:szCs w:val="20"/>
        </w:rPr>
        <w:t xml:space="preserve">‘institution’ </w:t>
      </w:r>
      <w:r w:rsidR="00786F50" w:rsidRPr="000833FA">
        <w:rPr>
          <w:rFonts w:ascii="Arial" w:hAnsi="Arial" w:cs="Arial"/>
          <w:sz w:val="20"/>
          <w:szCs w:val="20"/>
        </w:rPr>
        <w:t xml:space="preserve">as </w:t>
      </w:r>
      <w:r w:rsidR="00716F69">
        <w:rPr>
          <w:rFonts w:ascii="Arial" w:hAnsi="Arial" w:cs="Arial"/>
          <w:sz w:val="20"/>
          <w:szCs w:val="20"/>
        </w:rPr>
        <w:t>the Public Service</w:t>
      </w:r>
      <w:r w:rsidR="00786F50" w:rsidRPr="000833FA">
        <w:rPr>
          <w:rFonts w:ascii="Arial" w:hAnsi="Arial" w:cs="Arial"/>
          <w:sz w:val="20"/>
          <w:szCs w:val="20"/>
        </w:rPr>
        <w:t xml:space="preserve"> is effective </w:t>
      </w:r>
      <w:r w:rsidRPr="000833FA">
        <w:rPr>
          <w:rFonts w:ascii="Arial" w:hAnsi="Arial" w:cs="Arial"/>
          <w:sz w:val="20"/>
          <w:szCs w:val="20"/>
        </w:rPr>
        <w:t>only to the extent there are Departments and Authorities</w:t>
      </w:r>
      <w:r w:rsidR="00786F50" w:rsidRPr="000833FA">
        <w:rPr>
          <w:rFonts w:ascii="Arial" w:hAnsi="Arial" w:cs="Arial"/>
          <w:sz w:val="20"/>
          <w:szCs w:val="20"/>
        </w:rPr>
        <w:t xml:space="preserve"> established by different, higher order, processes.  In contrast, Departments and Authorities could be created in the absence of the Act.  </w:t>
      </w:r>
    </w:p>
    <w:p w14:paraId="07C37A08" w14:textId="77777777" w:rsidR="00716F69" w:rsidRDefault="00716F69" w:rsidP="00716F69">
      <w:pPr>
        <w:spacing w:after="0" w:line="276" w:lineRule="auto"/>
        <w:rPr>
          <w:rFonts w:ascii="Arial" w:hAnsi="Arial" w:cs="Arial"/>
          <w:sz w:val="20"/>
          <w:szCs w:val="20"/>
        </w:rPr>
      </w:pPr>
    </w:p>
    <w:p w14:paraId="59722E9D" w14:textId="4C7EF56B" w:rsidR="00786F50" w:rsidRPr="000833FA" w:rsidRDefault="00786F50" w:rsidP="00716F69">
      <w:pPr>
        <w:spacing w:after="0" w:line="276" w:lineRule="auto"/>
        <w:rPr>
          <w:rFonts w:ascii="Arial" w:hAnsi="Arial" w:cs="Arial"/>
          <w:sz w:val="20"/>
          <w:szCs w:val="20"/>
        </w:rPr>
      </w:pPr>
      <w:r w:rsidRPr="000833FA">
        <w:rPr>
          <w:rFonts w:ascii="Arial" w:hAnsi="Arial" w:cs="Arial"/>
          <w:sz w:val="20"/>
          <w:szCs w:val="20"/>
        </w:rPr>
        <w:t xml:space="preserve">To the extent the Act conflicts with </w:t>
      </w:r>
      <w:r w:rsidR="00BB6FBF">
        <w:rPr>
          <w:rFonts w:ascii="Arial" w:hAnsi="Arial" w:cs="Arial"/>
          <w:sz w:val="20"/>
          <w:szCs w:val="20"/>
        </w:rPr>
        <w:t xml:space="preserve">the </w:t>
      </w:r>
      <w:r w:rsidRPr="000833FA">
        <w:rPr>
          <w:rFonts w:ascii="Arial" w:hAnsi="Arial" w:cs="Arial"/>
          <w:sz w:val="20"/>
          <w:szCs w:val="20"/>
        </w:rPr>
        <w:t>principles outlined above its application will be problematic.</w:t>
      </w:r>
    </w:p>
    <w:p w14:paraId="32622A7B" w14:textId="1A9B78B3" w:rsidR="00786F50" w:rsidRPr="000833FA" w:rsidRDefault="00786F50" w:rsidP="00716F69">
      <w:pPr>
        <w:spacing w:after="0" w:line="276" w:lineRule="auto"/>
        <w:rPr>
          <w:rFonts w:ascii="Arial" w:hAnsi="Arial" w:cs="Arial"/>
          <w:sz w:val="20"/>
          <w:szCs w:val="20"/>
        </w:rPr>
      </w:pPr>
      <w:r w:rsidRPr="000833FA">
        <w:rPr>
          <w:rFonts w:ascii="Arial" w:hAnsi="Arial" w:cs="Arial"/>
          <w:sz w:val="20"/>
          <w:szCs w:val="20"/>
        </w:rPr>
        <w:t xml:space="preserve">  </w:t>
      </w:r>
    </w:p>
    <w:p w14:paraId="6BE2E7F8" w14:textId="725112B6" w:rsidR="00716F69" w:rsidRDefault="00786F50" w:rsidP="00716F69">
      <w:pPr>
        <w:spacing w:after="0" w:line="276" w:lineRule="auto"/>
        <w:rPr>
          <w:rFonts w:ascii="Arial" w:hAnsi="Arial" w:cs="Arial"/>
          <w:sz w:val="20"/>
          <w:szCs w:val="20"/>
        </w:rPr>
      </w:pPr>
      <w:r w:rsidRPr="000833FA">
        <w:rPr>
          <w:rFonts w:ascii="Arial" w:hAnsi="Arial" w:cs="Arial"/>
          <w:sz w:val="20"/>
          <w:szCs w:val="20"/>
        </w:rPr>
        <w:t xml:space="preserve">The draft report, and several commissioned papers, appear to assume the value of the Australian Public Service is associated with the Act </w:t>
      </w:r>
      <w:r w:rsidR="004C0115">
        <w:rPr>
          <w:rFonts w:ascii="Arial" w:hAnsi="Arial" w:cs="Arial"/>
          <w:sz w:val="20"/>
          <w:szCs w:val="20"/>
        </w:rPr>
        <w:t xml:space="preserve">and it </w:t>
      </w:r>
      <w:r w:rsidRPr="000833FA">
        <w:rPr>
          <w:rFonts w:ascii="Arial" w:hAnsi="Arial" w:cs="Arial"/>
          <w:sz w:val="20"/>
          <w:szCs w:val="20"/>
        </w:rPr>
        <w:t>making it an institution.</w:t>
      </w:r>
      <w:r w:rsidR="00DD0BA1">
        <w:rPr>
          <w:rStyle w:val="EndnoteReference"/>
          <w:rFonts w:ascii="Arial" w:hAnsi="Arial" w:cs="Arial"/>
          <w:sz w:val="20"/>
          <w:szCs w:val="20"/>
        </w:rPr>
        <w:endnoteReference w:id="7"/>
      </w:r>
      <w:r w:rsidRPr="000833FA">
        <w:rPr>
          <w:rFonts w:ascii="Arial" w:hAnsi="Arial" w:cs="Arial"/>
          <w:sz w:val="20"/>
          <w:szCs w:val="20"/>
        </w:rPr>
        <w:t xml:space="preserve">  </w:t>
      </w:r>
    </w:p>
    <w:p w14:paraId="7D29856D" w14:textId="77777777" w:rsidR="00716F69" w:rsidRDefault="00716F69" w:rsidP="00716F69">
      <w:pPr>
        <w:spacing w:after="0" w:line="276" w:lineRule="auto"/>
        <w:rPr>
          <w:rFonts w:ascii="Arial" w:hAnsi="Arial" w:cs="Arial"/>
          <w:sz w:val="20"/>
          <w:szCs w:val="20"/>
        </w:rPr>
      </w:pPr>
    </w:p>
    <w:p w14:paraId="69489C16" w14:textId="546CE8C1" w:rsidR="00D52ED1" w:rsidRPr="000833FA" w:rsidRDefault="00786F50" w:rsidP="00716F69">
      <w:pPr>
        <w:spacing w:after="0" w:line="276" w:lineRule="auto"/>
        <w:rPr>
          <w:rFonts w:ascii="Arial" w:hAnsi="Arial" w:cs="Arial"/>
          <w:sz w:val="20"/>
          <w:szCs w:val="20"/>
        </w:rPr>
      </w:pPr>
      <w:r w:rsidRPr="000833FA">
        <w:rPr>
          <w:rFonts w:ascii="Arial" w:hAnsi="Arial" w:cs="Arial"/>
          <w:sz w:val="20"/>
          <w:szCs w:val="20"/>
        </w:rPr>
        <w:t xml:space="preserve">For example, ‘stewardship’ </w:t>
      </w:r>
      <w:r w:rsidR="00D52ED1" w:rsidRPr="000833FA">
        <w:rPr>
          <w:rFonts w:ascii="Arial" w:hAnsi="Arial" w:cs="Arial"/>
          <w:sz w:val="20"/>
          <w:szCs w:val="20"/>
        </w:rPr>
        <w:t>(</w:t>
      </w:r>
      <w:r w:rsidRPr="000833FA">
        <w:rPr>
          <w:rFonts w:ascii="Arial" w:hAnsi="Arial" w:cs="Arial"/>
          <w:sz w:val="20"/>
          <w:szCs w:val="20"/>
        </w:rPr>
        <w:t xml:space="preserve">of the </w:t>
      </w:r>
      <w:r w:rsidR="00716F69">
        <w:rPr>
          <w:rFonts w:ascii="Arial" w:hAnsi="Arial" w:cs="Arial"/>
          <w:sz w:val="20"/>
          <w:szCs w:val="20"/>
        </w:rPr>
        <w:t>Public Service</w:t>
      </w:r>
      <w:r w:rsidR="00D52ED1" w:rsidRPr="000833FA">
        <w:rPr>
          <w:rFonts w:ascii="Arial" w:hAnsi="Arial" w:cs="Arial"/>
          <w:sz w:val="20"/>
          <w:szCs w:val="20"/>
        </w:rPr>
        <w:t>)</w:t>
      </w:r>
      <w:r w:rsidRPr="000833FA">
        <w:rPr>
          <w:rFonts w:ascii="Arial" w:hAnsi="Arial" w:cs="Arial"/>
          <w:sz w:val="20"/>
          <w:szCs w:val="20"/>
        </w:rPr>
        <w:t xml:space="preserve"> assigned by the Act to Secretaries, is raised as important </w:t>
      </w:r>
      <w:r w:rsidR="004C0115">
        <w:rPr>
          <w:rFonts w:ascii="Arial" w:hAnsi="Arial" w:cs="Arial"/>
          <w:sz w:val="20"/>
          <w:szCs w:val="20"/>
        </w:rPr>
        <w:t xml:space="preserve">because it leads </w:t>
      </w:r>
      <w:r w:rsidRPr="000833FA">
        <w:rPr>
          <w:rFonts w:ascii="Arial" w:hAnsi="Arial" w:cs="Arial"/>
          <w:sz w:val="20"/>
          <w:szCs w:val="20"/>
        </w:rPr>
        <w:t xml:space="preserve">to future public service capability.  </w:t>
      </w:r>
      <w:r w:rsidR="00D52ED1" w:rsidRPr="000833FA">
        <w:rPr>
          <w:rFonts w:ascii="Arial" w:hAnsi="Arial" w:cs="Arial"/>
          <w:sz w:val="20"/>
          <w:szCs w:val="20"/>
        </w:rPr>
        <w:t xml:space="preserve"> Underlying this </w:t>
      </w:r>
      <w:r w:rsidR="00B2283D">
        <w:rPr>
          <w:rFonts w:ascii="Arial" w:hAnsi="Arial" w:cs="Arial"/>
          <w:sz w:val="20"/>
          <w:szCs w:val="20"/>
        </w:rPr>
        <w:t xml:space="preserve">are three unfortunate assumptions: an institution is necessary for such stewardship; </w:t>
      </w:r>
      <w:r w:rsidR="00DD0BA1">
        <w:rPr>
          <w:rFonts w:ascii="Arial" w:hAnsi="Arial" w:cs="Arial"/>
          <w:sz w:val="20"/>
          <w:szCs w:val="20"/>
        </w:rPr>
        <w:t>S</w:t>
      </w:r>
      <w:r w:rsidR="00D52ED1" w:rsidRPr="000833FA">
        <w:rPr>
          <w:rFonts w:ascii="Arial" w:hAnsi="Arial" w:cs="Arial"/>
          <w:sz w:val="20"/>
          <w:szCs w:val="20"/>
        </w:rPr>
        <w:t xml:space="preserve">ecretaries would not take on </w:t>
      </w:r>
      <w:r w:rsidR="00DD0BA1">
        <w:rPr>
          <w:rFonts w:ascii="Arial" w:hAnsi="Arial" w:cs="Arial"/>
          <w:sz w:val="20"/>
          <w:szCs w:val="20"/>
        </w:rPr>
        <w:t xml:space="preserve">stewardship </w:t>
      </w:r>
      <w:r w:rsidR="00716F69">
        <w:rPr>
          <w:rFonts w:ascii="Arial" w:hAnsi="Arial" w:cs="Arial"/>
          <w:sz w:val="20"/>
          <w:szCs w:val="20"/>
        </w:rPr>
        <w:t>unless there was such an Act</w:t>
      </w:r>
      <w:r w:rsidR="00B2283D">
        <w:rPr>
          <w:rFonts w:ascii="Arial" w:hAnsi="Arial" w:cs="Arial"/>
          <w:sz w:val="20"/>
          <w:szCs w:val="20"/>
        </w:rPr>
        <w:t>;</w:t>
      </w:r>
      <w:r w:rsidR="00D52ED1" w:rsidRPr="000833FA">
        <w:rPr>
          <w:rFonts w:ascii="Arial" w:hAnsi="Arial" w:cs="Arial"/>
          <w:sz w:val="20"/>
          <w:szCs w:val="20"/>
        </w:rPr>
        <w:t xml:space="preserve"> </w:t>
      </w:r>
      <w:r w:rsidR="00DD0BA1">
        <w:rPr>
          <w:rFonts w:ascii="Arial" w:hAnsi="Arial" w:cs="Arial"/>
          <w:sz w:val="20"/>
          <w:szCs w:val="20"/>
        </w:rPr>
        <w:t xml:space="preserve">other </w:t>
      </w:r>
      <w:r w:rsidR="00D52ED1" w:rsidRPr="000833FA">
        <w:rPr>
          <w:rFonts w:ascii="Arial" w:hAnsi="Arial" w:cs="Arial"/>
          <w:sz w:val="20"/>
          <w:szCs w:val="20"/>
        </w:rPr>
        <w:t xml:space="preserve">public servants cannot or will not </w:t>
      </w:r>
      <w:r w:rsidR="004C0115">
        <w:rPr>
          <w:rFonts w:ascii="Arial" w:hAnsi="Arial" w:cs="Arial"/>
          <w:sz w:val="20"/>
          <w:szCs w:val="20"/>
        </w:rPr>
        <w:t>effect</w:t>
      </w:r>
      <w:r w:rsidR="00D52ED1" w:rsidRPr="000833FA">
        <w:rPr>
          <w:rFonts w:ascii="Arial" w:hAnsi="Arial" w:cs="Arial"/>
          <w:sz w:val="20"/>
          <w:szCs w:val="20"/>
        </w:rPr>
        <w:t xml:space="preserve"> stewardship.  </w:t>
      </w:r>
    </w:p>
    <w:p w14:paraId="01DE65B7" w14:textId="77777777" w:rsidR="00D52ED1" w:rsidRPr="000833FA" w:rsidRDefault="00D52ED1" w:rsidP="00716F69">
      <w:pPr>
        <w:spacing w:after="0" w:line="276" w:lineRule="auto"/>
        <w:rPr>
          <w:rFonts w:ascii="Arial" w:hAnsi="Arial" w:cs="Arial"/>
          <w:sz w:val="20"/>
          <w:szCs w:val="20"/>
        </w:rPr>
      </w:pPr>
    </w:p>
    <w:p w14:paraId="3E6883A2" w14:textId="035D0CE7" w:rsidR="00CC3460" w:rsidRDefault="00D52ED1" w:rsidP="00716F69">
      <w:pPr>
        <w:spacing w:after="0" w:line="276" w:lineRule="auto"/>
        <w:rPr>
          <w:rFonts w:ascii="Arial" w:hAnsi="Arial" w:cs="Arial"/>
          <w:sz w:val="20"/>
          <w:szCs w:val="20"/>
        </w:rPr>
      </w:pPr>
      <w:r w:rsidRPr="000833FA">
        <w:rPr>
          <w:rFonts w:ascii="Arial" w:hAnsi="Arial" w:cs="Arial"/>
          <w:sz w:val="20"/>
          <w:szCs w:val="20"/>
        </w:rPr>
        <w:t>To my mind th</w:t>
      </w:r>
      <w:r w:rsidR="004C0115">
        <w:rPr>
          <w:rFonts w:ascii="Arial" w:hAnsi="Arial" w:cs="Arial"/>
          <w:sz w:val="20"/>
          <w:szCs w:val="20"/>
        </w:rPr>
        <w:t xml:space="preserve">is </w:t>
      </w:r>
      <w:r w:rsidRPr="000833FA">
        <w:rPr>
          <w:rFonts w:ascii="Arial" w:hAnsi="Arial" w:cs="Arial"/>
          <w:sz w:val="20"/>
          <w:szCs w:val="20"/>
        </w:rPr>
        <w:t xml:space="preserve">is somewhat akin to attempts to legislate ethics.  </w:t>
      </w:r>
      <w:r w:rsidR="00B2283D">
        <w:rPr>
          <w:rFonts w:ascii="Arial" w:hAnsi="Arial" w:cs="Arial"/>
          <w:sz w:val="20"/>
          <w:szCs w:val="20"/>
        </w:rPr>
        <w:t>Th</w:t>
      </w:r>
      <w:r w:rsidR="00CC3460">
        <w:rPr>
          <w:rFonts w:ascii="Arial" w:hAnsi="Arial" w:cs="Arial"/>
          <w:sz w:val="20"/>
          <w:szCs w:val="20"/>
        </w:rPr>
        <w:t>is</w:t>
      </w:r>
      <w:r w:rsidR="00B2283D">
        <w:rPr>
          <w:rFonts w:ascii="Arial" w:hAnsi="Arial" w:cs="Arial"/>
          <w:sz w:val="20"/>
          <w:szCs w:val="20"/>
        </w:rPr>
        <w:t xml:space="preserve"> behaviour sought by the Act should occur without the Act.  </w:t>
      </w:r>
      <w:r w:rsidR="00CC3460">
        <w:rPr>
          <w:rFonts w:ascii="Arial" w:hAnsi="Arial" w:cs="Arial"/>
          <w:sz w:val="20"/>
          <w:szCs w:val="20"/>
        </w:rPr>
        <w:t xml:space="preserve">If this behaviour would not occur without the Act the Australian Public Service has people who are not fit to be its members, let alone </w:t>
      </w:r>
      <w:r w:rsidR="00BB6FBF">
        <w:rPr>
          <w:rFonts w:ascii="Arial" w:hAnsi="Arial" w:cs="Arial"/>
          <w:sz w:val="20"/>
          <w:szCs w:val="20"/>
        </w:rPr>
        <w:t xml:space="preserve">its </w:t>
      </w:r>
      <w:r w:rsidR="00CC3460">
        <w:rPr>
          <w:rFonts w:ascii="Arial" w:hAnsi="Arial" w:cs="Arial"/>
          <w:sz w:val="20"/>
          <w:szCs w:val="20"/>
        </w:rPr>
        <w:t>leaders.</w:t>
      </w:r>
    </w:p>
    <w:p w14:paraId="12A2D083" w14:textId="77777777" w:rsidR="00312D5C" w:rsidRDefault="00312D5C" w:rsidP="00716F69">
      <w:pPr>
        <w:pStyle w:val="Heading4"/>
        <w:spacing w:before="0" w:line="276" w:lineRule="auto"/>
        <w:rPr>
          <w:rFonts w:ascii="Arial" w:hAnsi="Arial" w:cs="Arial"/>
          <w:sz w:val="20"/>
          <w:szCs w:val="20"/>
        </w:rPr>
      </w:pPr>
    </w:p>
    <w:p w14:paraId="39D6BCE6" w14:textId="2C88AEB3" w:rsidR="00F0287C" w:rsidRPr="000833FA" w:rsidRDefault="00F0287C" w:rsidP="00716F69">
      <w:pPr>
        <w:pStyle w:val="Heading4"/>
        <w:spacing w:before="0" w:line="276" w:lineRule="auto"/>
        <w:rPr>
          <w:rFonts w:ascii="Arial" w:hAnsi="Arial" w:cs="Arial"/>
          <w:sz w:val="20"/>
          <w:szCs w:val="20"/>
        </w:rPr>
      </w:pPr>
      <w:r w:rsidRPr="000833FA">
        <w:rPr>
          <w:rFonts w:ascii="Arial" w:hAnsi="Arial" w:cs="Arial"/>
          <w:sz w:val="20"/>
          <w:szCs w:val="20"/>
        </w:rPr>
        <w:t>Differences between organisations</w:t>
      </w:r>
    </w:p>
    <w:p w14:paraId="7E19A350" w14:textId="4DF78469"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It may have been thought the two types of government organisations, and therefore public service</w:t>
      </w:r>
      <w:r w:rsidR="00CC3460">
        <w:rPr>
          <w:rFonts w:ascii="Arial" w:hAnsi="Arial" w:cs="Arial"/>
          <w:sz w:val="20"/>
          <w:szCs w:val="20"/>
        </w:rPr>
        <w:t xml:space="preserve"> responsibilities</w:t>
      </w:r>
      <w:r w:rsidRPr="000833FA">
        <w:rPr>
          <w:rFonts w:ascii="Arial" w:hAnsi="Arial" w:cs="Arial"/>
          <w:sz w:val="20"/>
          <w:szCs w:val="20"/>
        </w:rPr>
        <w:t xml:space="preserve">, are for practical purposes indistinguishable.  However, a series of High Court cases culminating in 2014 </w:t>
      </w:r>
      <w:r w:rsidR="004C0115">
        <w:rPr>
          <w:rFonts w:ascii="Arial" w:hAnsi="Arial" w:cs="Arial"/>
          <w:sz w:val="20"/>
          <w:szCs w:val="20"/>
        </w:rPr>
        <w:t>suggests</w:t>
      </w:r>
      <w:r w:rsidRPr="000833FA">
        <w:rPr>
          <w:rFonts w:ascii="Arial" w:hAnsi="Arial" w:cs="Arial"/>
          <w:sz w:val="20"/>
          <w:szCs w:val="20"/>
        </w:rPr>
        <w:t xml:space="preserve"> this is not the case for the Commonwealth.</w:t>
      </w:r>
      <w:r w:rsidRPr="000833FA">
        <w:rPr>
          <w:rStyle w:val="EndnoteReference"/>
          <w:rFonts w:ascii="Arial" w:hAnsi="Arial" w:cs="Arial"/>
          <w:sz w:val="20"/>
          <w:szCs w:val="20"/>
        </w:rPr>
        <w:endnoteReference w:id="8"/>
      </w:r>
      <w:r w:rsidRPr="000833FA">
        <w:rPr>
          <w:rFonts w:ascii="Arial" w:hAnsi="Arial" w:cs="Arial"/>
          <w:sz w:val="20"/>
          <w:szCs w:val="20"/>
        </w:rPr>
        <w:t xml:space="preserve">  </w:t>
      </w:r>
    </w:p>
    <w:p w14:paraId="389B2189" w14:textId="77777777" w:rsidR="00F0287C" w:rsidRPr="000833FA" w:rsidRDefault="00F0287C" w:rsidP="00716F69">
      <w:pPr>
        <w:spacing w:after="0" w:line="276" w:lineRule="auto"/>
        <w:rPr>
          <w:rFonts w:ascii="Arial" w:hAnsi="Arial" w:cs="Arial"/>
          <w:sz w:val="20"/>
          <w:szCs w:val="20"/>
        </w:rPr>
      </w:pPr>
    </w:p>
    <w:p w14:paraId="326246C8" w14:textId="0A497981"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 xml:space="preserve">The reasons </w:t>
      </w:r>
      <w:r w:rsidR="004C0115">
        <w:rPr>
          <w:rFonts w:ascii="Arial" w:hAnsi="Arial" w:cs="Arial"/>
          <w:sz w:val="20"/>
          <w:szCs w:val="20"/>
        </w:rPr>
        <w:t>lie in</w:t>
      </w:r>
      <w:r w:rsidRPr="000833FA">
        <w:rPr>
          <w:rFonts w:ascii="Arial" w:hAnsi="Arial" w:cs="Arial"/>
          <w:sz w:val="20"/>
          <w:szCs w:val="20"/>
        </w:rPr>
        <w:t xml:space="preserve"> the powers and therefore roles of the Commonwealth and its Executive.  </w:t>
      </w:r>
    </w:p>
    <w:p w14:paraId="7F424177" w14:textId="77777777" w:rsidR="00F0287C" w:rsidRPr="000833FA" w:rsidRDefault="00F0287C" w:rsidP="00716F69">
      <w:pPr>
        <w:spacing w:after="0" w:line="276" w:lineRule="auto"/>
        <w:rPr>
          <w:rFonts w:ascii="Arial" w:hAnsi="Arial" w:cs="Arial"/>
          <w:sz w:val="20"/>
          <w:szCs w:val="20"/>
        </w:rPr>
      </w:pPr>
    </w:p>
    <w:p w14:paraId="2BD67821" w14:textId="5EE28512" w:rsidR="00F0287C" w:rsidRDefault="00F0287C" w:rsidP="00716F69">
      <w:pPr>
        <w:pStyle w:val="Heading3"/>
        <w:spacing w:before="0" w:line="276" w:lineRule="auto"/>
        <w:rPr>
          <w:rFonts w:ascii="Arial" w:hAnsi="Arial" w:cs="Arial"/>
        </w:rPr>
      </w:pPr>
      <w:bookmarkStart w:id="5" w:name="_Toc7446748"/>
      <w:r w:rsidRPr="00850CBC">
        <w:rPr>
          <w:rFonts w:ascii="Arial" w:hAnsi="Arial" w:cs="Arial"/>
        </w:rPr>
        <w:t>2.3</w:t>
      </w:r>
      <w:r w:rsidRPr="00850CBC">
        <w:rPr>
          <w:rFonts w:ascii="Arial" w:hAnsi="Arial" w:cs="Arial"/>
        </w:rPr>
        <w:tab/>
        <w:t>Commonwealth and Executive powers</w:t>
      </w:r>
      <w:bookmarkEnd w:id="5"/>
    </w:p>
    <w:p w14:paraId="5DCB543E" w14:textId="769C6E7B" w:rsidR="00F0287C" w:rsidRPr="000833FA" w:rsidRDefault="00F0287C" w:rsidP="00716F69">
      <w:pPr>
        <w:pStyle w:val="Heading4"/>
        <w:spacing w:before="0" w:line="276" w:lineRule="auto"/>
        <w:rPr>
          <w:rFonts w:ascii="Arial" w:hAnsi="Arial" w:cs="Arial"/>
          <w:sz w:val="20"/>
          <w:szCs w:val="20"/>
        </w:rPr>
      </w:pPr>
      <w:r w:rsidRPr="000833FA">
        <w:rPr>
          <w:rFonts w:ascii="Arial" w:hAnsi="Arial" w:cs="Arial"/>
          <w:sz w:val="20"/>
          <w:szCs w:val="20"/>
        </w:rPr>
        <w:t>Position clarified in 2014</w:t>
      </w:r>
      <w:r w:rsidR="00CC3460">
        <w:rPr>
          <w:rFonts w:ascii="Arial" w:hAnsi="Arial" w:cs="Arial"/>
          <w:sz w:val="20"/>
          <w:szCs w:val="20"/>
        </w:rPr>
        <w:t>-2016</w:t>
      </w:r>
    </w:p>
    <w:p w14:paraId="722985C6" w14:textId="1E15B540" w:rsidR="00661134" w:rsidRPr="000833FA" w:rsidRDefault="00F0287C" w:rsidP="00716F69">
      <w:pPr>
        <w:spacing w:after="0" w:line="276" w:lineRule="auto"/>
        <w:rPr>
          <w:rFonts w:ascii="Arial" w:hAnsi="Arial" w:cs="Arial"/>
          <w:sz w:val="20"/>
          <w:szCs w:val="20"/>
        </w:rPr>
      </w:pPr>
      <w:r w:rsidRPr="000833FA">
        <w:rPr>
          <w:rFonts w:ascii="Arial" w:hAnsi="Arial" w:cs="Arial"/>
          <w:sz w:val="20"/>
          <w:szCs w:val="20"/>
        </w:rPr>
        <w:t>The scheme of the Constitution has the Commonwealth distributing its surplus of public monies</w:t>
      </w:r>
      <w:r w:rsidR="00716F69">
        <w:rPr>
          <w:rFonts w:ascii="Arial" w:hAnsi="Arial" w:cs="Arial"/>
          <w:sz w:val="20"/>
          <w:szCs w:val="20"/>
        </w:rPr>
        <w:t>,</w:t>
      </w:r>
      <w:r w:rsidRPr="000833FA">
        <w:rPr>
          <w:rFonts w:ascii="Arial" w:hAnsi="Arial" w:cs="Arial"/>
          <w:sz w:val="20"/>
          <w:szCs w:val="20"/>
        </w:rPr>
        <w:t xml:space="preserve"> revenue </w:t>
      </w:r>
      <w:r w:rsidR="00716F69">
        <w:rPr>
          <w:rFonts w:ascii="Arial" w:hAnsi="Arial" w:cs="Arial"/>
          <w:sz w:val="20"/>
          <w:szCs w:val="20"/>
        </w:rPr>
        <w:t>less</w:t>
      </w:r>
      <w:r w:rsidRPr="000833FA">
        <w:rPr>
          <w:rFonts w:ascii="Arial" w:hAnsi="Arial" w:cs="Arial"/>
          <w:sz w:val="20"/>
          <w:szCs w:val="20"/>
        </w:rPr>
        <w:t xml:space="preserve"> spending</w:t>
      </w:r>
      <w:r w:rsidR="00716F69">
        <w:rPr>
          <w:rFonts w:ascii="Arial" w:hAnsi="Arial" w:cs="Arial"/>
          <w:sz w:val="20"/>
          <w:szCs w:val="20"/>
        </w:rPr>
        <w:t>,</w:t>
      </w:r>
      <w:r w:rsidRPr="000833FA">
        <w:rPr>
          <w:rFonts w:ascii="Arial" w:hAnsi="Arial" w:cs="Arial"/>
          <w:sz w:val="20"/>
          <w:szCs w:val="20"/>
        </w:rPr>
        <w:t xml:space="preserve"> to the States.</w:t>
      </w:r>
      <w:r w:rsidRPr="000833FA">
        <w:rPr>
          <w:rStyle w:val="EndnoteReference"/>
          <w:rFonts w:ascii="Arial" w:hAnsi="Arial" w:cs="Arial"/>
          <w:sz w:val="20"/>
          <w:szCs w:val="20"/>
        </w:rPr>
        <w:endnoteReference w:id="9"/>
      </w:r>
    </w:p>
    <w:p w14:paraId="5144315C" w14:textId="77777777" w:rsidR="00661134" w:rsidRPr="000833FA" w:rsidRDefault="00661134" w:rsidP="00716F69">
      <w:pPr>
        <w:spacing w:after="0" w:line="276" w:lineRule="auto"/>
        <w:rPr>
          <w:rFonts w:ascii="Arial" w:hAnsi="Arial" w:cs="Arial"/>
          <w:sz w:val="20"/>
          <w:szCs w:val="20"/>
        </w:rPr>
      </w:pPr>
    </w:p>
    <w:p w14:paraId="5C6BA896" w14:textId="496F8775" w:rsidR="00F0287C" w:rsidRPr="000833FA" w:rsidRDefault="00661134" w:rsidP="00716F69">
      <w:pPr>
        <w:spacing w:after="0" w:line="276" w:lineRule="auto"/>
        <w:rPr>
          <w:rFonts w:ascii="Arial" w:hAnsi="Arial" w:cs="Arial"/>
          <w:sz w:val="20"/>
          <w:szCs w:val="20"/>
        </w:rPr>
      </w:pPr>
      <w:r w:rsidRPr="000833FA">
        <w:rPr>
          <w:rFonts w:ascii="Arial" w:hAnsi="Arial" w:cs="Arial"/>
          <w:sz w:val="20"/>
          <w:szCs w:val="20"/>
        </w:rPr>
        <w:t>The matter of Commonwealth spending is a significant national issue not least due to the vertical fiscal imbalance.</w:t>
      </w:r>
      <w:r w:rsidRPr="000833FA">
        <w:rPr>
          <w:rStyle w:val="EndnoteReference"/>
          <w:rFonts w:ascii="Arial" w:hAnsi="Arial" w:cs="Arial"/>
          <w:sz w:val="20"/>
          <w:szCs w:val="20"/>
        </w:rPr>
        <w:endnoteReference w:id="10"/>
      </w:r>
      <w:r w:rsidR="00F0287C" w:rsidRPr="000833FA">
        <w:rPr>
          <w:rFonts w:ascii="Arial" w:hAnsi="Arial" w:cs="Arial"/>
          <w:sz w:val="20"/>
          <w:szCs w:val="20"/>
        </w:rPr>
        <w:t xml:space="preserve">  </w:t>
      </w:r>
    </w:p>
    <w:p w14:paraId="292F6912" w14:textId="77777777" w:rsidR="00F0287C" w:rsidRPr="000833FA" w:rsidRDefault="00F0287C" w:rsidP="00716F69">
      <w:pPr>
        <w:spacing w:after="0" w:line="276" w:lineRule="auto"/>
        <w:rPr>
          <w:rFonts w:ascii="Arial" w:hAnsi="Arial" w:cs="Arial"/>
          <w:sz w:val="20"/>
          <w:szCs w:val="20"/>
        </w:rPr>
      </w:pPr>
    </w:p>
    <w:p w14:paraId="1ADEA491" w14:textId="7B0D9FC5"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 xml:space="preserve">In three cases, the High Court emphatically rejected </w:t>
      </w:r>
      <w:r w:rsidR="004C0115">
        <w:rPr>
          <w:rFonts w:ascii="Arial" w:hAnsi="Arial" w:cs="Arial"/>
          <w:sz w:val="20"/>
          <w:szCs w:val="20"/>
        </w:rPr>
        <w:t>a</w:t>
      </w:r>
      <w:r w:rsidRPr="000833FA">
        <w:rPr>
          <w:rFonts w:ascii="Arial" w:hAnsi="Arial" w:cs="Arial"/>
          <w:sz w:val="20"/>
          <w:szCs w:val="20"/>
        </w:rPr>
        <w:t xml:space="preserve"> proposition that the Commonwealth Government could spend public monies on any matter.  </w:t>
      </w:r>
      <w:r w:rsidR="00716F69">
        <w:rPr>
          <w:rFonts w:ascii="Arial" w:hAnsi="Arial" w:cs="Arial"/>
          <w:sz w:val="20"/>
          <w:szCs w:val="20"/>
        </w:rPr>
        <w:t>Th</w:t>
      </w:r>
      <w:r w:rsidRPr="000833FA">
        <w:rPr>
          <w:rFonts w:ascii="Arial" w:hAnsi="Arial" w:cs="Arial"/>
          <w:sz w:val="20"/>
          <w:szCs w:val="20"/>
        </w:rPr>
        <w:t xml:space="preserve">e scope of the Commonwealth Executive is limited.  The scope of the Departmental public service </w:t>
      </w:r>
      <w:r w:rsidR="00BB6FBF">
        <w:rPr>
          <w:rFonts w:ascii="Arial" w:hAnsi="Arial" w:cs="Arial"/>
          <w:sz w:val="20"/>
          <w:szCs w:val="20"/>
        </w:rPr>
        <w:t>must be</w:t>
      </w:r>
      <w:r w:rsidRPr="000833FA">
        <w:rPr>
          <w:rFonts w:ascii="Arial" w:hAnsi="Arial" w:cs="Arial"/>
          <w:sz w:val="20"/>
          <w:szCs w:val="20"/>
        </w:rPr>
        <w:t xml:space="preserve"> similarly limited.</w:t>
      </w:r>
    </w:p>
    <w:p w14:paraId="6A5C1E06" w14:textId="77777777" w:rsidR="00F0287C" w:rsidRPr="000833FA" w:rsidRDefault="00F0287C" w:rsidP="00716F69">
      <w:pPr>
        <w:spacing w:after="0" w:line="276" w:lineRule="auto"/>
        <w:rPr>
          <w:rFonts w:ascii="Arial" w:hAnsi="Arial" w:cs="Arial"/>
          <w:sz w:val="20"/>
          <w:szCs w:val="20"/>
        </w:rPr>
      </w:pPr>
    </w:p>
    <w:p w14:paraId="6AF8B3BA" w14:textId="68F07181"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The Court held the Commonwealth can only spend on: matters for which there is legislation; certain other limited ‘implied’ matters; payments to the States.</w:t>
      </w:r>
      <w:r w:rsidR="005E7111" w:rsidRPr="005E7111">
        <w:rPr>
          <w:rStyle w:val="EndnoteReference"/>
          <w:rFonts w:ascii="Arial" w:hAnsi="Arial" w:cs="Arial"/>
          <w:sz w:val="20"/>
          <w:szCs w:val="20"/>
        </w:rPr>
        <w:t xml:space="preserve"> </w:t>
      </w:r>
      <w:r w:rsidR="005E7111" w:rsidRPr="000833FA">
        <w:rPr>
          <w:rStyle w:val="EndnoteReference"/>
          <w:rFonts w:ascii="Arial" w:hAnsi="Arial" w:cs="Arial"/>
          <w:sz w:val="20"/>
          <w:szCs w:val="20"/>
        </w:rPr>
        <w:endnoteReference w:id="11"/>
      </w:r>
      <w:r w:rsidRPr="000833FA">
        <w:rPr>
          <w:rFonts w:ascii="Arial" w:hAnsi="Arial" w:cs="Arial"/>
          <w:sz w:val="20"/>
          <w:szCs w:val="20"/>
        </w:rPr>
        <w:t xml:space="preserve">  </w:t>
      </w:r>
    </w:p>
    <w:p w14:paraId="6213E7D2" w14:textId="77777777" w:rsidR="00F0287C" w:rsidRPr="000833FA" w:rsidRDefault="00F0287C" w:rsidP="00716F69">
      <w:pPr>
        <w:spacing w:after="0" w:line="276" w:lineRule="auto"/>
        <w:rPr>
          <w:rFonts w:ascii="Arial" w:hAnsi="Arial" w:cs="Arial"/>
          <w:sz w:val="20"/>
          <w:szCs w:val="20"/>
        </w:rPr>
      </w:pPr>
    </w:p>
    <w:p w14:paraId="30B149DE" w14:textId="19FCE498"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The first of these, legislation, is only available for matters within Commonwealth legislative competence.  These matters are set out in the Constitution.</w:t>
      </w:r>
    </w:p>
    <w:p w14:paraId="1C6B96AD" w14:textId="77777777" w:rsidR="00F0287C" w:rsidRPr="000833FA" w:rsidRDefault="00F0287C" w:rsidP="00716F69">
      <w:pPr>
        <w:spacing w:after="0" w:line="276" w:lineRule="auto"/>
        <w:rPr>
          <w:rFonts w:ascii="Arial" w:hAnsi="Arial" w:cs="Arial"/>
          <w:sz w:val="20"/>
          <w:szCs w:val="20"/>
        </w:rPr>
      </w:pPr>
    </w:p>
    <w:p w14:paraId="66803A32" w14:textId="76503A92"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The second, ‘implied’ powers, are limited to matters necessary for the Executive to protect the Constitution or undertake unique and necessary attributes of nationhood.  Implied powers for the Government are less for the Commonwealth than the States, and Britain, due to it being a Federal Government under a written Constitution.</w:t>
      </w:r>
    </w:p>
    <w:p w14:paraId="604577B7" w14:textId="77777777" w:rsidR="00F0287C" w:rsidRPr="000833FA" w:rsidRDefault="00F0287C" w:rsidP="00716F69">
      <w:pPr>
        <w:spacing w:after="0" w:line="276" w:lineRule="auto"/>
        <w:rPr>
          <w:rFonts w:ascii="Arial" w:hAnsi="Arial" w:cs="Arial"/>
          <w:sz w:val="20"/>
          <w:szCs w:val="20"/>
        </w:rPr>
      </w:pPr>
    </w:p>
    <w:p w14:paraId="640E825E" w14:textId="000DAC2E"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The third means the Commonwealth can make payments to the States.  In fact, payments beyond the Commonwealth’s legislative and implied powers can only be made to the States.</w:t>
      </w:r>
    </w:p>
    <w:p w14:paraId="1BAC36A7" w14:textId="77777777" w:rsidR="00F0287C" w:rsidRPr="000833FA" w:rsidRDefault="00F0287C" w:rsidP="00716F69">
      <w:pPr>
        <w:spacing w:after="0" w:line="276" w:lineRule="auto"/>
        <w:rPr>
          <w:rFonts w:ascii="Arial" w:hAnsi="Arial" w:cs="Arial"/>
          <w:sz w:val="20"/>
          <w:szCs w:val="20"/>
        </w:rPr>
      </w:pPr>
    </w:p>
    <w:p w14:paraId="38B96ABA" w14:textId="77777777" w:rsidR="00F0287C" w:rsidRPr="000833FA" w:rsidRDefault="00F0287C" w:rsidP="00716F69">
      <w:pPr>
        <w:pStyle w:val="Heading4"/>
        <w:spacing w:before="0" w:line="276" w:lineRule="auto"/>
        <w:rPr>
          <w:rFonts w:ascii="Arial" w:hAnsi="Arial" w:cs="Arial"/>
          <w:sz w:val="20"/>
          <w:szCs w:val="20"/>
        </w:rPr>
      </w:pPr>
      <w:r w:rsidRPr="000833FA">
        <w:rPr>
          <w:rFonts w:ascii="Arial" w:hAnsi="Arial" w:cs="Arial"/>
          <w:sz w:val="20"/>
          <w:szCs w:val="20"/>
        </w:rPr>
        <w:t>Payments to the States – conditions</w:t>
      </w:r>
    </w:p>
    <w:p w14:paraId="3C40350A" w14:textId="77777777"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Payments to the States may include conditions such that the recipient State must spend monies on defined purposes – specific purpose or conditional payments.</w:t>
      </w:r>
      <w:r w:rsidRPr="000833FA">
        <w:rPr>
          <w:rStyle w:val="EndnoteReference"/>
          <w:rFonts w:ascii="Arial" w:hAnsi="Arial" w:cs="Arial"/>
          <w:sz w:val="20"/>
          <w:szCs w:val="20"/>
        </w:rPr>
        <w:endnoteReference w:id="12"/>
      </w:r>
      <w:r w:rsidRPr="000833FA">
        <w:rPr>
          <w:rFonts w:ascii="Arial" w:hAnsi="Arial" w:cs="Arial"/>
          <w:sz w:val="20"/>
          <w:szCs w:val="20"/>
        </w:rPr>
        <w:t xml:space="preserve">  </w:t>
      </w:r>
    </w:p>
    <w:p w14:paraId="063FA7D0" w14:textId="77777777" w:rsidR="00F0287C" w:rsidRPr="000833FA" w:rsidRDefault="00F0287C" w:rsidP="00716F69">
      <w:pPr>
        <w:spacing w:after="0" w:line="276" w:lineRule="auto"/>
        <w:rPr>
          <w:rFonts w:ascii="Arial" w:hAnsi="Arial" w:cs="Arial"/>
          <w:sz w:val="20"/>
          <w:szCs w:val="20"/>
        </w:rPr>
      </w:pPr>
    </w:p>
    <w:p w14:paraId="53158E9C" w14:textId="77777777"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The range of conditions is virtually unlimited, extending beyond purposes of the Commonwealth or other matters in the Constitution.  Through these conditions the Commonwealth has extended its influence into matters not allocated to it in the Constitution, such as roads.</w:t>
      </w:r>
      <w:r w:rsidRPr="000833FA">
        <w:rPr>
          <w:rStyle w:val="EndnoteReference"/>
          <w:rFonts w:ascii="Arial" w:hAnsi="Arial" w:cs="Arial"/>
          <w:sz w:val="20"/>
          <w:szCs w:val="20"/>
        </w:rPr>
        <w:endnoteReference w:id="13"/>
      </w:r>
    </w:p>
    <w:p w14:paraId="7D0CCB6A" w14:textId="77777777" w:rsidR="00F0287C" w:rsidRPr="000833FA" w:rsidRDefault="00F0287C" w:rsidP="00716F69">
      <w:pPr>
        <w:spacing w:after="0" w:line="276" w:lineRule="auto"/>
        <w:rPr>
          <w:rFonts w:ascii="Arial" w:hAnsi="Arial" w:cs="Arial"/>
          <w:sz w:val="20"/>
          <w:szCs w:val="20"/>
        </w:rPr>
      </w:pPr>
    </w:p>
    <w:p w14:paraId="6EE48C0E" w14:textId="2F81F72F"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Conditional payments are voluntary; a State can avoid th</w:t>
      </w:r>
      <w:r w:rsidR="00D201C8">
        <w:rPr>
          <w:rFonts w:ascii="Arial" w:hAnsi="Arial" w:cs="Arial"/>
          <w:sz w:val="20"/>
          <w:szCs w:val="20"/>
        </w:rPr>
        <w:t>is</w:t>
      </w:r>
      <w:r w:rsidRPr="000833FA">
        <w:rPr>
          <w:rFonts w:ascii="Arial" w:hAnsi="Arial" w:cs="Arial"/>
          <w:sz w:val="20"/>
          <w:szCs w:val="20"/>
        </w:rPr>
        <w:t xml:space="preserve"> influence of the Commonwealth by not accepting the payment.</w:t>
      </w:r>
    </w:p>
    <w:p w14:paraId="50DDDA50" w14:textId="77777777" w:rsidR="00F0287C" w:rsidRPr="000833FA" w:rsidRDefault="00F0287C" w:rsidP="00716F69">
      <w:pPr>
        <w:spacing w:after="0" w:line="276" w:lineRule="auto"/>
        <w:rPr>
          <w:rFonts w:ascii="Arial" w:hAnsi="Arial" w:cs="Arial"/>
          <w:sz w:val="20"/>
          <w:szCs w:val="20"/>
        </w:rPr>
      </w:pPr>
    </w:p>
    <w:p w14:paraId="6A0D182F" w14:textId="1EC7B677"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 xml:space="preserve">Conditions of such payments </w:t>
      </w:r>
      <w:r w:rsidR="00D201C8">
        <w:rPr>
          <w:rFonts w:ascii="Arial" w:hAnsi="Arial" w:cs="Arial"/>
          <w:sz w:val="20"/>
          <w:szCs w:val="20"/>
        </w:rPr>
        <w:t>are to</w:t>
      </w:r>
      <w:r w:rsidRPr="000833FA">
        <w:rPr>
          <w:rFonts w:ascii="Arial" w:hAnsi="Arial" w:cs="Arial"/>
          <w:sz w:val="20"/>
          <w:szCs w:val="20"/>
        </w:rPr>
        <w:t xml:space="preserve"> be set by Parliament.  The structure of the Constitution indicates the underlying ideas behind this.  As Commonwealth spending, including conditional grants, affects its surplus it is a matter of interest to all States</w:t>
      </w:r>
      <w:r w:rsidR="00D201C8">
        <w:rPr>
          <w:rFonts w:ascii="Arial" w:hAnsi="Arial" w:cs="Arial"/>
          <w:sz w:val="20"/>
          <w:szCs w:val="20"/>
        </w:rPr>
        <w:t xml:space="preserve"> and thus the States’ House</w:t>
      </w:r>
      <w:r w:rsidRPr="000833FA">
        <w:rPr>
          <w:rFonts w:ascii="Arial" w:hAnsi="Arial" w:cs="Arial"/>
          <w:sz w:val="20"/>
          <w:szCs w:val="20"/>
        </w:rPr>
        <w:t xml:space="preserve">.  </w:t>
      </w:r>
    </w:p>
    <w:p w14:paraId="2344F2C2" w14:textId="77777777" w:rsidR="00415D21" w:rsidRPr="000833FA" w:rsidRDefault="00415D21" w:rsidP="00716F69">
      <w:pPr>
        <w:spacing w:after="0" w:line="276" w:lineRule="auto"/>
        <w:rPr>
          <w:rFonts w:ascii="Arial" w:hAnsi="Arial" w:cs="Arial"/>
          <w:sz w:val="20"/>
          <w:szCs w:val="20"/>
        </w:rPr>
      </w:pPr>
    </w:p>
    <w:p w14:paraId="411876F1" w14:textId="52C099BA"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 xml:space="preserve">The scheme of Parliament, instead of the Government, setting conditions on grants </w:t>
      </w:r>
      <w:r w:rsidR="00D201C8">
        <w:rPr>
          <w:rFonts w:ascii="Arial" w:hAnsi="Arial" w:cs="Arial"/>
          <w:sz w:val="20"/>
          <w:szCs w:val="20"/>
        </w:rPr>
        <w:t xml:space="preserve">similarly </w:t>
      </w:r>
      <w:r w:rsidRPr="000833FA">
        <w:rPr>
          <w:rFonts w:ascii="Arial" w:hAnsi="Arial" w:cs="Arial"/>
          <w:sz w:val="20"/>
          <w:szCs w:val="20"/>
        </w:rPr>
        <w:t>deals with a latent issue.  Parliamentary endorsement necessarily involves the opinion of the States</w:t>
      </w:r>
      <w:r w:rsidR="00FE2CC8">
        <w:rPr>
          <w:rFonts w:ascii="Arial" w:hAnsi="Arial" w:cs="Arial"/>
          <w:sz w:val="20"/>
          <w:szCs w:val="20"/>
        </w:rPr>
        <w:t>’</w:t>
      </w:r>
      <w:r w:rsidRPr="000833FA">
        <w:rPr>
          <w:rFonts w:ascii="Arial" w:hAnsi="Arial" w:cs="Arial"/>
          <w:sz w:val="20"/>
          <w:szCs w:val="20"/>
        </w:rPr>
        <w:t xml:space="preserve"> House</w:t>
      </w:r>
      <w:r w:rsidR="00D201C8">
        <w:rPr>
          <w:rFonts w:ascii="Arial" w:hAnsi="Arial" w:cs="Arial"/>
          <w:sz w:val="20"/>
          <w:szCs w:val="20"/>
        </w:rPr>
        <w:t>.</w:t>
      </w:r>
      <w:r w:rsidRPr="000833FA">
        <w:rPr>
          <w:rFonts w:ascii="Arial" w:hAnsi="Arial" w:cs="Arial"/>
          <w:sz w:val="20"/>
          <w:szCs w:val="20"/>
        </w:rPr>
        <w:t xml:space="preserve"> </w:t>
      </w:r>
    </w:p>
    <w:p w14:paraId="6297C979" w14:textId="77777777" w:rsidR="00F0287C" w:rsidRPr="000833FA" w:rsidRDefault="00F0287C" w:rsidP="00716F69">
      <w:pPr>
        <w:spacing w:after="0" w:line="276" w:lineRule="auto"/>
        <w:rPr>
          <w:rFonts w:ascii="Arial" w:hAnsi="Arial" w:cs="Arial"/>
          <w:sz w:val="20"/>
          <w:szCs w:val="20"/>
        </w:rPr>
      </w:pPr>
    </w:p>
    <w:p w14:paraId="66E0B676" w14:textId="77777777" w:rsidR="00F0287C" w:rsidRPr="000833FA" w:rsidRDefault="00F0287C" w:rsidP="00716F69">
      <w:pPr>
        <w:pStyle w:val="Heading4"/>
        <w:spacing w:before="0" w:line="276" w:lineRule="auto"/>
        <w:rPr>
          <w:rFonts w:ascii="Arial" w:hAnsi="Arial" w:cs="Arial"/>
          <w:sz w:val="20"/>
          <w:szCs w:val="20"/>
        </w:rPr>
      </w:pPr>
      <w:r w:rsidRPr="000833FA">
        <w:rPr>
          <w:rFonts w:ascii="Arial" w:hAnsi="Arial" w:cs="Arial"/>
          <w:sz w:val="20"/>
          <w:szCs w:val="20"/>
        </w:rPr>
        <w:lastRenderedPageBreak/>
        <w:t>Relations with the States</w:t>
      </w:r>
    </w:p>
    <w:p w14:paraId="55C4BD69" w14:textId="6EAFA7C1"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The Commonwealth can encroach on a State, but only with approval of Parliament and of the State concerned.  Mechanisms are: referendum; referral of powers; conditional grants.</w:t>
      </w:r>
    </w:p>
    <w:p w14:paraId="77A3383D" w14:textId="77777777" w:rsidR="00F0287C" w:rsidRPr="000833FA" w:rsidRDefault="00F0287C" w:rsidP="00716F69">
      <w:pPr>
        <w:spacing w:after="0" w:line="276" w:lineRule="auto"/>
        <w:rPr>
          <w:rFonts w:ascii="Arial" w:hAnsi="Arial" w:cs="Arial"/>
          <w:sz w:val="20"/>
          <w:szCs w:val="20"/>
        </w:rPr>
      </w:pPr>
    </w:p>
    <w:p w14:paraId="4BB166DC" w14:textId="5006FBF9"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The three High Court cases repudiated attempts by the Government to encroach on or bypass the States by other mechanisms</w:t>
      </w:r>
      <w:r w:rsidR="004F10BB">
        <w:rPr>
          <w:rFonts w:ascii="Arial" w:hAnsi="Arial" w:cs="Arial"/>
          <w:sz w:val="20"/>
          <w:szCs w:val="20"/>
        </w:rPr>
        <w:t xml:space="preserve"> even w</w:t>
      </w:r>
      <w:r w:rsidR="00FE2CC8">
        <w:rPr>
          <w:rFonts w:ascii="Arial" w:hAnsi="Arial" w:cs="Arial"/>
          <w:sz w:val="20"/>
          <w:szCs w:val="20"/>
        </w:rPr>
        <w:t>ere there</w:t>
      </w:r>
      <w:r w:rsidR="004F10BB">
        <w:rPr>
          <w:rFonts w:ascii="Arial" w:hAnsi="Arial" w:cs="Arial"/>
          <w:sz w:val="20"/>
          <w:szCs w:val="20"/>
        </w:rPr>
        <w:t xml:space="preserve"> consultation and express </w:t>
      </w:r>
      <w:r w:rsidR="002E3691">
        <w:rPr>
          <w:rFonts w:ascii="Arial" w:hAnsi="Arial" w:cs="Arial"/>
          <w:sz w:val="20"/>
          <w:szCs w:val="20"/>
        </w:rPr>
        <w:t>acquiescence</w:t>
      </w:r>
      <w:r w:rsidR="004F10BB">
        <w:rPr>
          <w:rFonts w:ascii="Arial" w:hAnsi="Arial" w:cs="Arial"/>
          <w:sz w:val="20"/>
          <w:szCs w:val="20"/>
        </w:rPr>
        <w:t xml:space="preserve"> of the States</w:t>
      </w:r>
      <w:r w:rsidRPr="000833FA">
        <w:rPr>
          <w:rFonts w:ascii="Arial" w:hAnsi="Arial" w:cs="Arial"/>
          <w:sz w:val="20"/>
          <w:szCs w:val="20"/>
        </w:rPr>
        <w:t>.</w:t>
      </w:r>
      <w:r w:rsidRPr="000833FA">
        <w:rPr>
          <w:rStyle w:val="EndnoteReference"/>
          <w:rFonts w:ascii="Arial" w:hAnsi="Arial" w:cs="Arial"/>
          <w:sz w:val="20"/>
          <w:szCs w:val="20"/>
        </w:rPr>
        <w:endnoteReference w:id="14"/>
      </w:r>
    </w:p>
    <w:p w14:paraId="6FC3D292" w14:textId="77777777" w:rsidR="00F0287C" w:rsidRPr="000833FA" w:rsidRDefault="00F0287C" w:rsidP="00716F69">
      <w:pPr>
        <w:spacing w:after="0" w:line="276" w:lineRule="auto"/>
        <w:rPr>
          <w:rFonts w:ascii="Arial" w:hAnsi="Arial" w:cs="Arial"/>
          <w:sz w:val="20"/>
          <w:szCs w:val="20"/>
        </w:rPr>
      </w:pPr>
    </w:p>
    <w:p w14:paraId="46722446" w14:textId="35165CA9"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Hence there are functional as well as procedural differences between the Government and Parliament</w:t>
      </w:r>
      <w:r w:rsidR="00D201C8">
        <w:rPr>
          <w:rFonts w:ascii="Arial" w:hAnsi="Arial" w:cs="Arial"/>
          <w:sz w:val="20"/>
          <w:szCs w:val="20"/>
        </w:rPr>
        <w:t xml:space="preserve"> in Commonwealth-State relations</w:t>
      </w:r>
      <w:r w:rsidRPr="000833FA">
        <w:rPr>
          <w:rFonts w:ascii="Arial" w:hAnsi="Arial" w:cs="Arial"/>
          <w:sz w:val="20"/>
          <w:szCs w:val="20"/>
        </w:rPr>
        <w:t>.</w:t>
      </w:r>
      <w:r w:rsidR="00415D21" w:rsidRPr="000833FA">
        <w:rPr>
          <w:rFonts w:ascii="Arial" w:hAnsi="Arial" w:cs="Arial"/>
          <w:sz w:val="20"/>
          <w:szCs w:val="20"/>
        </w:rPr>
        <w:t xml:space="preserve">  This must have implications for Departments and Authorities.</w:t>
      </w:r>
    </w:p>
    <w:p w14:paraId="26B0792E" w14:textId="5B25986D" w:rsidR="00661134" w:rsidRPr="000833FA" w:rsidRDefault="00661134" w:rsidP="00716F69">
      <w:pPr>
        <w:spacing w:after="0" w:line="276" w:lineRule="auto"/>
        <w:rPr>
          <w:rFonts w:ascii="Arial" w:hAnsi="Arial" w:cs="Arial"/>
          <w:sz w:val="20"/>
          <w:szCs w:val="20"/>
        </w:rPr>
      </w:pPr>
    </w:p>
    <w:p w14:paraId="053FC3AA" w14:textId="40406C4E" w:rsidR="000E2973" w:rsidRPr="000833FA" w:rsidRDefault="00661134" w:rsidP="00716F69">
      <w:pPr>
        <w:spacing w:after="0" w:line="276" w:lineRule="auto"/>
        <w:rPr>
          <w:rFonts w:ascii="Arial" w:hAnsi="Arial" w:cs="Arial"/>
          <w:sz w:val="20"/>
          <w:szCs w:val="20"/>
        </w:rPr>
      </w:pPr>
      <w:r w:rsidRPr="000833FA">
        <w:rPr>
          <w:rFonts w:ascii="Arial" w:hAnsi="Arial" w:cs="Arial"/>
          <w:sz w:val="20"/>
          <w:szCs w:val="20"/>
        </w:rPr>
        <w:t xml:space="preserve">One paper commissioned for the review </w:t>
      </w:r>
      <w:r w:rsidR="00393C2F">
        <w:rPr>
          <w:rFonts w:ascii="Arial" w:hAnsi="Arial" w:cs="Arial"/>
          <w:sz w:val="20"/>
          <w:szCs w:val="20"/>
        </w:rPr>
        <w:t xml:space="preserve">– the jurisdictions paper - </w:t>
      </w:r>
      <w:r w:rsidRPr="000833FA">
        <w:rPr>
          <w:rFonts w:ascii="Arial" w:hAnsi="Arial" w:cs="Arial"/>
          <w:sz w:val="20"/>
          <w:szCs w:val="20"/>
        </w:rPr>
        <w:t xml:space="preserve">considered some issues regarding Commonwealth-State relations.  </w:t>
      </w:r>
      <w:r w:rsidR="000E2973" w:rsidRPr="000833FA">
        <w:rPr>
          <w:rFonts w:ascii="Arial" w:hAnsi="Arial" w:cs="Arial"/>
          <w:sz w:val="20"/>
          <w:szCs w:val="20"/>
        </w:rPr>
        <w:t>It took a seemingly pragmatic view that responsibilities of the two tiers are entangled, and that mechanisms such as the Council of Australian Governments are useful to improve community outcomes.</w:t>
      </w:r>
      <w:r w:rsidR="00393C2F">
        <w:rPr>
          <w:rStyle w:val="EndnoteReference"/>
          <w:rFonts w:ascii="Arial" w:hAnsi="Arial" w:cs="Arial"/>
          <w:sz w:val="20"/>
          <w:szCs w:val="20"/>
        </w:rPr>
        <w:endnoteReference w:id="15"/>
      </w:r>
      <w:r w:rsidR="00415D21" w:rsidRPr="000833FA">
        <w:rPr>
          <w:rFonts w:ascii="Arial" w:hAnsi="Arial" w:cs="Arial"/>
          <w:sz w:val="20"/>
          <w:szCs w:val="20"/>
        </w:rPr>
        <w:t xml:space="preserve">  </w:t>
      </w:r>
    </w:p>
    <w:p w14:paraId="51C8E20C" w14:textId="77777777" w:rsidR="000E2973" w:rsidRPr="000833FA" w:rsidRDefault="000E2973" w:rsidP="00716F69">
      <w:pPr>
        <w:spacing w:after="0" w:line="276" w:lineRule="auto"/>
        <w:rPr>
          <w:rFonts w:ascii="Arial" w:hAnsi="Arial" w:cs="Arial"/>
          <w:sz w:val="20"/>
          <w:szCs w:val="20"/>
        </w:rPr>
      </w:pPr>
    </w:p>
    <w:p w14:paraId="6824CB32" w14:textId="65BA344D" w:rsidR="00B261ED" w:rsidRDefault="000E2973" w:rsidP="00716F69">
      <w:pPr>
        <w:spacing w:after="0" w:line="276" w:lineRule="auto"/>
        <w:rPr>
          <w:rFonts w:ascii="Arial" w:hAnsi="Arial" w:cs="Arial"/>
          <w:sz w:val="20"/>
          <w:szCs w:val="20"/>
        </w:rPr>
      </w:pPr>
      <w:r w:rsidRPr="00B261ED">
        <w:rPr>
          <w:rFonts w:ascii="Arial" w:hAnsi="Arial" w:cs="Arial"/>
          <w:sz w:val="20"/>
          <w:szCs w:val="20"/>
        </w:rPr>
        <w:t>I</w:t>
      </w:r>
      <w:r w:rsidR="00415D21" w:rsidRPr="00B261ED">
        <w:rPr>
          <w:rFonts w:ascii="Arial" w:hAnsi="Arial" w:cs="Arial"/>
          <w:sz w:val="20"/>
          <w:szCs w:val="20"/>
        </w:rPr>
        <w:t>t</w:t>
      </w:r>
      <w:r w:rsidR="00393C2F" w:rsidRPr="00B261ED">
        <w:rPr>
          <w:rFonts w:ascii="Arial" w:hAnsi="Arial" w:cs="Arial"/>
          <w:sz w:val="20"/>
          <w:szCs w:val="20"/>
        </w:rPr>
        <w:t xml:space="preserve"> treated</w:t>
      </w:r>
      <w:r w:rsidRPr="00B261ED">
        <w:rPr>
          <w:rFonts w:ascii="Arial" w:hAnsi="Arial" w:cs="Arial"/>
          <w:sz w:val="20"/>
          <w:szCs w:val="20"/>
        </w:rPr>
        <w:t xml:space="preserve"> interaction and overlap </w:t>
      </w:r>
      <w:r w:rsidR="00D201C8" w:rsidRPr="00B261ED">
        <w:rPr>
          <w:rFonts w:ascii="Arial" w:hAnsi="Arial" w:cs="Arial"/>
          <w:sz w:val="20"/>
          <w:szCs w:val="20"/>
        </w:rPr>
        <w:t xml:space="preserve">between the tiers </w:t>
      </w:r>
      <w:r w:rsidRPr="00B261ED">
        <w:rPr>
          <w:rFonts w:ascii="Arial" w:hAnsi="Arial" w:cs="Arial"/>
          <w:sz w:val="20"/>
          <w:szCs w:val="20"/>
        </w:rPr>
        <w:t>alike</w:t>
      </w:r>
      <w:r w:rsidR="00B261ED" w:rsidRPr="00B261ED">
        <w:rPr>
          <w:rFonts w:ascii="Arial" w:hAnsi="Arial" w:cs="Arial"/>
          <w:sz w:val="20"/>
          <w:szCs w:val="20"/>
        </w:rPr>
        <w:t xml:space="preserve"> and suggested reliance on a Senior Officers Meeting</w:t>
      </w:r>
      <w:r w:rsidR="00693E1F">
        <w:rPr>
          <w:rFonts w:ascii="Arial" w:hAnsi="Arial" w:cs="Arial"/>
          <w:sz w:val="20"/>
          <w:szCs w:val="20"/>
        </w:rPr>
        <w:t>;</w:t>
      </w:r>
      <w:r w:rsidR="00B261ED" w:rsidRPr="00B261ED">
        <w:rPr>
          <w:rFonts w:ascii="Arial" w:hAnsi="Arial" w:cs="Arial"/>
          <w:sz w:val="20"/>
          <w:szCs w:val="20"/>
        </w:rPr>
        <w:t xml:space="preserve"> a meeting of Prime Ministers and Premiers Departments </w:t>
      </w:r>
      <w:r w:rsidR="00B261ED">
        <w:rPr>
          <w:rFonts w:ascii="Arial" w:hAnsi="Arial" w:cs="Arial"/>
          <w:sz w:val="20"/>
          <w:szCs w:val="20"/>
        </w:rPr>
        <w:t xml:space="preserve">which supports the Council and </w:t>
      </w:r>
      <w:r w:rsidR="00B261ED" w:rsidRPr="00B261ED">
        <w:rPr>
          <w:rFonts w:ascii="Arial" w:hAnsi="Arial" w:cs="Arial"/>
          <w:i/>
          <w:sz w:val="20"/>
          <w:szCs w:val="20"/>
        </w:rPr>
        <w:t>‘</w:t>
      </w:r>
      <w:r w:rsidR="00B261ED" w:rsidRPr="00B261ED">
        <w:rPr>
          <w:rFonts w:ascii="Arial" w:hAnsi="Arial" w:cs="Arial"/>
          <w:i/>
          <w:sz w:val="20"/>
          <w:szCs w:val="20"/>
          <w:lang w:val="en-GB"/>
        </w:rPr>
        <w:t>acts as a clearing house for important cross-jurisdictional issues’</w:t>
      </w:r>
      <w:r w:rsidR="00B261ED">
        <w:rPr>
          <w:rFonts w:ascii="Arial" w:hAnsi="Arial" w:cs="Arial"/>
          <w:sz w:val="20"/>
          <w:szCs w:val="20"/>
          <w:lang w:val="en-GB"/>
        </w:rPr>
        <w:t xml:space="preserve">.  </w:t>
      </w:r>
      <w:r w:rsidR="00B261ED" w:rsidRPr="00B261ED">
        <w:rPr>
          <w:rFonts w:ascii="Arial" w:hAnsi="Arial" w:cs="Arial"/>
          <w:sz w:val="20"/>
          <w:szCs w:val="20"/>
          <w:lang w:val="en-GB"/>
        </w:rPr>
        <w:t xml:space="preserve"> </w:t>
      </w:r>
    </w:p>
    <w:p w14:paraId="5FF1D198" w14:textId="77777777" w:rsidR="00B261ED" w:rsidRDefault="00B261ED" w:rsidP="00716F69">
      <w:pPr>
        <w:spacing w:after="0" w:line="276" w:lineRule="auto"/>
        <w:rPr>
          <w:rFonts w:ascii="Arial" w:hAnsi="Arial" w:cs="Arial"/>
          <w:sz w:val="20"/>
          <w:szCs w:val="20"/>
        </w:rPr>
      </w:pPr>
    </w:p>
    <w:p w14:paraId="4C5568B6" w14:textId="2D4235CC" w:rsidR="00661134" w:rsidRPr="000833FA" w:rsidRDefault="000E2973" w:rsidP="00716F69">
      <w:pPr>
        <w:spacing w:after="0" w:line="276" w:lineRule="auto"/>
        <w:rPr>
          <w:rFonts w:ascii="Arial" w:hAnsi="Arial" w:cs="Arial"/>
          <w:sz w:val="20"/>
          <w:szCs w:val="20"/>
        </w:rPr>
      </w:pPr>
      <w:r w:rsidRPr="000833FA">
        <w:rPr>
          <w:rFonts w:ascii="Arial" w:hAnsi="Arial" w:cs="Arial"/>
          <w:sz w:val="20"/>
          <w:szCs w:val="20"/>
        </w:rPr>
        <w:t xml:space="preserve">I do not agree with that.  Interaction of policies </w:t>
      </w:r>
      <w:r w:rsidR="00393C2F">
        <w:rPr>
          <w:rFonts w:ascii="Arial" w:hAnsi="Arial" w:cs="Arial"/>
          <w:sz w:val="20"/>
          <w:szCs w:val="20"/>
        </w:rPr>
        <w:t xml:space="preserve">of the tiers </w:t>
      </w:r>
      <w:r w:rsidRPr="000833FA">
        <w:rPr>
          <w:rFonts w:ascii="Arial" w:hAnsi="Arial" w:cs="Arial"/>
          <w:sz w:val="20"/>
          <w:szCs w:val="20"/>
        </w:rPr>
        <w:t>is unavoidable</w:t>
      </w:r>
      <w:r w:rsidR="00D201C8">
        <w:rPr>
          <w:rFonts w:ascii="Arial" w:hAnsi="Arial" w:cs="Arial"/>
          <w:sz w:val="20"/>
          <w:szCs w:val="20"/>
        </w:rPr>
        <w:t>, overlap is not</w:t>
      </w:r>
      <w:r w:rsidRPr="000833FA">
        <w:rPr>
          <w:rFonts w:ascii="Arial" w:hAnsi="Arial" w:cs="Arial"/>
          <w:sz w:val="20"/>
          <w:szCs w:val="20"/>
        </w:rPr>
        <w:t>.  Some overlap may occur from time to time.  However, to countenance overlap is to invite governance problems starting with diffusion of accountability</w:t>
      </w:r>
      <w:r w:rsidR="00DC4AD7">
        <w:rPr>
          <w:rFonts w:ascii="Arial" w:hAnsi="Arial" w:cs="Arial"/>
          <w:sz w:val="20"/>
          <w:szCs w:val="20"/>
        </w:rPr>
        <w:t xml:space="preserve"> and tensions between tiers</w:t>
      </w:r>
      <w:r w:rsidRPr="000833FA">
        <w:rPr>
          <w:rFonts w:ascii="Arial" w:hAnsi="Arial" w:cs="Arial"/>
          <w:sz w:val="20"/>
          <w:szCs w:val="20"/>
        </w:rPr>
        <w:t>.</w:t>
      </w:r>
      <w:r w:rsidR="00B261ED">
        <w:rPr>
          <w:rFonts w:ascii="Arial" w:hAnsi="Arial" w:cs="Arial"/>
          <w:sz w:val="20"/>
          <w:szCs w:val="20"/>
        </w:rPr>
        <w:t xml:space="preserve">  </w:t>
      </w:r>
      <w:r w:rsidR="00DC4AD7">
        <w:rPr>
          <w:rFonts w:ascii="Arial" w:hAnsi="Arial" w:cs="Arial"/>
          <w:sz w:val="20"/>
          <w:szCs w:val="20"/>
        </w:rPr>
        <w:t xml:space="preserve">There is no reason to believe these are less </w:t>
      </w:r>
      <w:r w:rsidR="006B31FC">
        <w:rPr>
          <w:rFonts w:ascii="Arial" w:hAnsi="Arial" w:cs="Arial"/>
          <w:sz w:val="20"/>
          <w:szCs w:val="20"/>
        </w:rPr>
        <w:t>for Senior Officers</w:t>
      </w:r>
      <w:r w:rsidR="00DC4AD7">
        <w:rPr>
          <w:rFonts w:ascii="Arial" w:hAnsi="Arial" w:cs="Arial"/>
          <w:sz w:val="20"/>
          <w:szCs w:val="20"/>
        </w:rPr>
        <w:t xml:space="preserve"> than others</w:t>
      </w:r>
      <w:r w:rsidR="00487521">
        <w:rPr>
          <w:rFonts w:ascii="Arial" w:hAnsi="Arial" w:cs="Arial"/>
          <w:sz w:val="20"/>
          <w:szCs w:val="20"/>
        </w:rPr>
        <w:t>.  I</w:t>
      </w:r>
      <w:r w:rsidR="00DC4AD7">
        <w:rPr>
          <w:rFonts w:ascii="Arial" w:hAnsi="Arial" w:cs="Arial"/>
          <w:sz w:val="20"/>
          <w:szCs w:val="20"/>
        </w:rPr>
        <w:t>n fact</w:t>
      </w:r>
      <w:r w:rsidR="006B31FC">
        <w:rPr>
          <w:rFonts w:ascii="Arial" w:hAnsi="Arial" w:cs="Arial"/>
          <w:sz w:val="20"/>
          <w:szCs w:val="20"/>
        </w:rPr>
        <w:t>,</w:t>
      </w:r>
      <w:r w:rsidR="00DC4AD7">
        <w:rPr>
          <w:rFonts w:ascii="Arial" w:hAnsi="Arial" w:cs="Arial"/>
          <w:sz w:val="20"/>
          <w:szCs w:val="20"/>
        </w:rPr>
        <w:t xml:space="preserve"> given </w:t>
      </w:r>
      <w:r w:rsidR="006B31FC">
        <w:rPr>
          <w:rFonts w:ascii="Arial" w:hAnsi="Arial" w:cs="Arial"/>
          <w:sz w:val="20"/>
          <w:szCs w:val="20"/>
        </w:rPr>
        <w:t>such Officers’</w:t>
      </w:r>
      <w:r w:rsidR="00487521">
        <w:rPr>
          <w:rFonts w:ascii="Arial" w:hAnsi="Arial" w:cs="Arial"/>
          <w:sz w:val="20"/>
          <w:szCs w:val="20"/>
        </w:rPr>
        <w:t xml:space="preserve"> wider </w:t>
      </w:r>
      <w:r w:rsidR="00DC4AD7">
        <w:rPr>
          <w:rFonts w:ascii="Arial" w:hAnsi="Arial" w:cs="Arial"/>
          <w:sz w:val="20"/>
          <w:szCs w:val="20"/>
        </w:rPr>
        <w:t xml:space="preserve">purview </w:t>
      </w:r>
      <w:r w:rsidR="00487521">
        <w:rPr>
          <w:rFonts w:ascii="Arial" w:hAnsi="Arial" w:cs="Arial"/>
          <w:sz w:val="20"/>
          <w:szCs w:val="20"/>
        </w:rPr>
        <w:t>and higher political exposure</w:t>
      </w:r>
      <w:r w:rsidR="00DC4AD7">
        <w:rPr>
          <w:rFonts w:ascii="Arial" w:hAnsi="Arial" w:cs="Arial"/>
          <w:sz w:val="20"/>
          <w:szCs w:val="20"/>
        </w:rPr>
        <w:t>, there are reasons to believe the</w:t>
      </w:r>
      <w:r w:rsidR="006B31FC">
        <w:rPr>
          <w:rFonts w:ascii="Arial" w:hAnsi="Arial" w:cs="Arial"/>
          <w:sz w:val="20"/>
          <w:szCs w:val="20"/>
        </w:rPr>
        <w:t>re are bigger</w:t>
      </w:r>
      <w:r w:rsidR="00DC4AD7">
        <w:rPr>
          <w:rFonts w:ascii="Arial" w:hAnsi="Arial" w:cs="Arial"/>
          <w:sz w:val="20"/>
          <w:szCs w:val="20"/>
        </w:rPr>
        <w:t xml:space="preserve"> problems.  </w:t>
      </w:r>
    </w:p>
    <w:p w14:paraId="7948ACFC" w14:textId="742144C4" w:rsidR="000E2973" w:rsidRPr="000833FA" w:rsidRDefault="000E2973" w:rsidP="00716F69">
      <w:pPr>
        <w:spacing w:after="0" w:line="276" w:lineRule="auto"/>
        <w:rPr>
          <w:rFonts w:ascii="Arial" w:hAnsi="Arial" w:cs="Arial"/>
          <w:sz w:val="20"/>
          <w:szCs w:val="20"/>
        </w:rPr>
      </w:pPr>
    </w:p>
    <w:p w14:paraId="3B5811E8" w14:textId="5EFA5F90" w:rsidR="000E2973" w:rsidRPr="000833FA" w:rsidRDefault="00FA7D49" w:rsidP="00716F69">
      <w:pPr>
        <w:spacing w:after="0" w:line="276" w:lineRule="auto"/>
        <w:rPr>
          <w:rFonts w:ascii="Arial" w:hAnsi="Arial" w:cs="Arial"/>
          <w:sz w:val="20"/>
          <w:szCs w:val="20"/>
        </w:rPr>
      </w:pPr>
      <w:r w:rsidRPr="000833FA">
        <w:rPr>
          <w:rFonts w:ascii="Arial" w:hAnsi="Arial" w:cs="Arial"/>
          <w:sz w:val="20"/>
          <w:szCs w:val="20"/>
        </w:rPr>
        <w:t xml:space="preserve">Overlap occurs when Governments wish to stray beyond their responsibilities.  The Commonwealth is the tier most likely to do so due to the vertical fiscal imbalance.  </w:t>
      </w:r>
      <w:r w:rsidR="00D201C8">
        <w:rPr>
          <w:rFonts w:ascii="Arial" w:hAnsi="Arial" w:cs="Arial"/>
          <w:sz w:val="20"/>
          <w:szCs w:val="20"/>
        </w:rPr>
        <w:t>Condition</w:t>
      </w:r>
      <w:r w:rsidR="00393C2F">
        <w:rPr>
          <w:rFonts w:ascii="Arial" w:hAnsi="Arial" w:cs="Arial"/>
          <w:sz w:val="20"/>
          <w:szCs w:val="20"/>
        </w:rPr>
        <w:t>s on</w:t>
      </w:r>
      <w:r w:rsidR="005B4B49" w:rsidRPr="000833FA">
        <w:rPr>
          <w:rFonts w:ascii="Arial" w:hAnsi="Arial" w:cs="Arial"/>
          <w:sz w:val="20"/>
          <w:szCs w:val="20"/>
        </w:rPr>
        <w:t xml:space="preserve"> payments </w:t>
      </w:r>
      <w:r w:rsidR="00D201C8">
        <w:rPr>
          <w:rFonts w:ascii="Arial" w:hAnsi="Arial" w:cs="Arial"/>
          <w:sz w:val="20"/>
          <w:szCs w:val="20"/>
        </w:rPr>
        <w:t xml:space="preserve">can </w:t>
      </w:r>
      <w:r w:rsidR="00393C2F">
        <w:rPr>
          <w:rFonts w:ascii="Arial" w:hAnsi="Arial" w:cs="Arial"/>
          <w:sz w:val="20"/>
          <w:szCs w:val="20"/>
        </w:rPr>
        <w:t>include</w:t>
      </w:r>
      <w:r w:rsidR="005B4B49" w:rsidRPr="000833FA">
        <w:rPr>
          <w:rFonts w:ascii="Arial" w:hAnsi="Arial" w:cs="Arial"/>
          <w:sz w:val="20"/>
          <w:szCs w:val="20"/>
        </w:rPr>
        <w:t xml:space="preserve"> Commonwealth overlaps.</w:t>
      </w:r>
      <w:r w:rsidR="00393C2F">
        <w:rPr>
          <w:rFonts w:ascii="Arial" w:hAnsi="Arial" w:cs="Arial"/>
          <w:sz w:val="20"/>
          <w:szCs w:val="20"/>
        </w:rPr>
        <w:t xml:space="preserve">  A recent example was an election promise for the Commonwealth to improve certain roads simply because the State had not.</w:t>
      </w:r>
    </w:p>
    <w:p w14:paraId="74D6F66A" w14:textId="75B847FA" w:rsidR="00C21A92" w:rsidRPr="000833FA" w:rsidRDefault="00C21A92" w:rsidP="00716F69">
      <w:pPr>
        <w:spacing w:after="0" w:line="276" w:lineRule="auto"/>
        <w:rPr>
          <w:rFonts w:ascii="Arial" w:hAnsi="Arial" w:cs="Arial"/>
          <w:sz w:val="20"/>
          <w:szCs w:val="20"/>
        </w:rPr>
      </w:pPr>
    </w:p>
    <w:p w14:paraId="39AE2B3F" w14:textId="6B52A650" w:rsidR="00C21A92" w:rsidRPr="000833FA" w:rsidRDefault="00C21A92" w:rsidP="00716F69">
      <w:pPr>
        <w:spacing w:after="0" w:line="276" w:lineRule="auto"/>
        <w:rPr>
          <w:rFonts w:ascii="Arial" w:hAnsi="Arial" w:cs="Arial"/>
          <w:sz w:val="20"/>
          <w:szCs w:val="20"/>
        </w:rPr>
      </w:pPr>
      <w:r w:rsidRPr="000833FA">
        <w:rPr>
          <w:rFonts w:ascii="Arial" w:hAnsi="Arial" w:cs="Arial"/>
          <w:sz w:val="20"/>
          <w:szCs w:val="20"/>
        </w:rPr>
        <w:t>The Constitutionally thematic approach is for the Commonwealth Parliament</w:t>
      </w:r>
      <w:r w:rsidR="00D201C8">
        <w:rPr>
          <w:rFonts w:ascii="Arial" w:hAnsi="Arial" w:cs="Arial"/>
          <w:sz w:val="20"/>
          <w:szCs w:val="20"/>
        </w:rPr>
        <w:t>, not just the Government,</w:t>
      </w:r>
      <w:r w:rsidRPr="000833FA">
        <w:rPr>
          <w:rFonts w:ascii="Arial" w:hAnsi="Arial" w:cs="Arial"/>
          <w:sz w:val="20"/>
          <w:szCs w:val="20"/>
        </w:rPr>
        <w:t xml:space="preserve"> to deal with overlap areas.  </w:t>
      </w:r>
    </w:p>
    <w:p w14:paraId="23E66760" w14:textId="77777777" w:rsidR="00F0287C" w:rsidRPr="000833FA" w:rsidRDefault="00F0287C" w:rsidP="00716F69">
      <w:pPr>
        <w:spacing w:after="0" w:line="276" w:lineRule="auto"/>
        <w:rPr>
          <w:rFonts w:ascii="Arial" w:hAnsi="Arial" w:cs="Arial"/>
          <w:sz w:val="20"/>
          <w:szCs w:val="20"/>
        </w:rPr>
      </w:pPr>
    </w:p>
    <w:p w14:paraId="59188E76" w14:textId="77777777" w:rsidR="00F0287C" w:rsidRPr="00850CBC" w:rsidRDefault="00F0287C" w:rsidP="00716F69">
      <w:pPr>
        <w:pStyle w:val="Heading3"/>
        <w:spacing w:before="0" w:line="276" w:lineRule="auto"/>
        <w:rPr>
          <w:rFonts w:ascii="Arial" w:hAnsi="Arial" w:cs="Arial"/>
        </w:rPr>
      </w:pPr>
      <w:bookmarkStart w:id="6" w:name="_Toc7446749"/>
      <w:r w:rsidRPr="00850CBC">
        <w:rPr>
          <w:rFonts w:ascii="Arial" w:hAnsi="Arial" w:cs="Arial"/>
        </w:rPr>
        <w:t>2.4</w:t>
      </w:r>
      <w:r w:rsidRPr="00850CBC">
        <w:rPr>
          <w:rFonts w:ascii="Arial" w:hAnsi="Arial" w:cs="Arial"/>
        </w:rPr>
        <w:tab/>
        <w:t>Implications for public service</w:t>
      </w:r>
      <w:bookmarkEnd w:id="6"/>
    </w:p>
    <w:p w14:paraId="24FC10E8" w14:textId="77777777" w:rsidR="00D201C8" w:rsidRPr="00D201C8" w:rsidRDefault="00D201C8" w:rsidP="00D201C8">
      <w:pPr>
        <w:pStyle w:val="Heading4"/>
        <w:rPr>
          <w:rFonts w:ascii="Arial" w:hAnsi="Arial" w:cs="Arial"/>
          <w:sz w:val="20"/>
          <w:szCs w:val="20"/>
        </w:rPr>
      </w:pPr>
      <w:r w:rsidRPr="00D201C8">
        <w:rPr>
          <w:rFonts w:ascii="Arial" w:hAnsi="Arial" w:cs="Arial"/>
          <w:sz w:val="20"/>
          <w:szCs w:val="20"/>
        </w:rPr>
        <w:t>Basic implications</w:t>
      </w:r>
    </w:p>
    <w:p w14:paraId="59FA02D1" w14:textId="558D3376" w:rsidR="00C21A92" w:rsidRPr="000833FA" w:rsidRDefault="00C21A92" w:rsidP="00716F69">
      <w:pPr>
        <w:spacing w:after="0" w:line="276" w:lineRule="auto"/>
        <w:rPr>
          <w:rFonts w:ascii="Arial" w:hAnsi="Arial" w:cs="Arial"/>
          <w:sz w:val="20"/>
          <w:szCs w:val="20"/>
        </w:rPr>
      </w:pPr>
      <w:r w:rsidRPr="000833FA">
        <w:rPr>
          <w:rFonts w:ascii="Arial" w:hAnsi="Arial" w:cs="Arial"/>
          <w:sz w:val="20"/>
          <w:szCs w:val="20"/>
        </w:rPr>
        <w:t>There are two basic implications for the Australian Public Service.</w:t>
      </w:r>
    </w:p>
    <w:p w14:paraId="42CCFA4D" w14:textId="77777777" w:rsidR="00C21A92" w:rsidRPr="000833FA" w:rsidRDefault="00C21A92" w:rsidP="00716F69">
      <w:pPr>
        <w:spacing w:after="0" w:line="276" w:lineRule="auto"/>
        <w:rPr>
          <w:rFonts w:ascii="Arial" w:hAnsi="Arial" w:cs="Arial"/>
          <w:sz w:val="20"/>
          <w:szCs w:val="20"/>
        </w:rPr>
      </w:pPr>
    </w:p>
    <w:p w14:paraId="68A7FAA8" w14:textId="6FAC264E" w:rsidR="00C21A92" w:rsidRPr="000833FA" w:rsidRDefault="00C21A92" w:rsidP="00716F69">
      <w:pPr>
        <w:spacing w:after="0" w:line="276" w:lineRule="auto"/>
        <w:rPr>
          <w:rFonts w:ascii="Arial" w:hAnsi="Arial" w:cs="Arial"/>
          <w:sz w:val="20"/>
          <w:szCs w:val="20"/>
        </w:rPr>
      </w:pPr>
      <w:r w:rsidRPr="000833FA">
        <w:rPr>
          <w:rFonts w:ascii="Arial" w:hAnsi="Arial" w:cs="Arial"/>
          <w:sz w:val="20"/>
          <w:szCs w:val="20"/>
        </w:rPr>
        <w:t xml:space="preserve">First, </w:t>
      </w:r>
      <w:r w:rsidR="00415D21" w:rsidRPr="000833FA">
        <w:rPr>
          <w:rFonts w:ascii="Arial" w:hAnsi="Arial" w:cs="Arial"/>
          <w:sz w:val="20"/>
          <w:szCs w:val="20"/>
        </w:rPr>
        <w:t xml:space="preserve">as </w:t>
      </w:r>
      <w:r w:rsidRPr="000833FA">
        <w:rPr>
          <w:rFonts w:ascii="Arial" w:hAnsi="Arial" w:cs="Arial"/>
          <w:sz w:val="20"/>
          <w:szCs w:val="20"/>
        </w:rPr>
        <w:t xml:space="preserve">the principled position is for Parliament to deal with </w:t>
      </w:r>
      <w:r w:rsidR="005B4B49" w:rsidRPr="000833FA">
        <w:rPr>
          <w:rFonts w:ascii="Arial" w:hAnsi="Arial" w:cs="Arial"/>
          <w:sz w:val="20"/>
          <w:szCs w:val="20"/>
        </w:rPr>
        <w:t>Commonwealth</w:t>
      </w:r>
      <w:r w:rsidRPr="000833FA">
        <w:rPr>
          <w:rFonts w:ascii="Arial" w:hAnsi="Arial" w:cs="Arial"/>
          <w:sz w:val="20"/>
          <w:szCs w:val="20"/>
        </w:rPr>
        <w:t xml:space="preserve"> overlap matters</w:t>
      </w:r>
      <w:r w:rsidR="00415D21" w:rsidRPr="000833FA">
        <w:rPr>
          <w:rFonts w:ascii="Arial" w:hAnsi="Arial" w:cs="Arial"/>
          <w:sz w:val="20"/>
          <w:szCs w:val="20"/>
        </w:rPr>
        <w:t>, p</w:t>
      </w:r>
      <w:r w:rsidRPr="000833FA">
        <w:rPr>
          <w:rFonts w:ascii="Arial" w:hAnsi="Arial" w:cs="Arial"/>
          <w:sz w:val="20"/>
          <w:szCs w:val="20"/>
        </w:rPr>
        <w:t xml:space="preserve">ublic </w:t>
      </w:r>
      <w:r w:rsidR="00415D21" w:rsidRPr="000833FA">
        <w:rPr>
          <w:rFonts w:ascii="Arial" w:hAnsi="Arial" w:cs="Arial"/>
          <w:sz w:val="20"/>
          <w:szCs w:val="20"/>
        </w:rPr>
        <w:t>s</w:t>
      </w:r>
      <w:r w:rsidRPr="000833FA">
        <w:rPr>
          <w:rFonts w:ascii="Arial" w:hAnsi="Arial" w:cs="Arial"/>
          <w:sz w:val="20"/>
          <w:szCs w:val="20"/>
        </w:rPr>
        <w:t xml:space="preserve">ervice advice and </w:t>
      </w:r>
      <w:r w:rsidR="00415D21" w:rsidRPr="000833FA">
        <w:rPr>
          <w:rFonts w:ascii="Arial" w:hAnsi="Arial" w:cs="Arial"/>
          <w:sz w:val="20"/>
          <w:szCs w:val="20"/>
        </w:rPr>
        <w:t>(</w:t>
      </w:r>
      <w:r w:rsidRPr="000833FA">
        <w:rPr>
          <w:rFonts w:ascii="Arial" w:hAnsi="Arial" w:cs="Arial"/>
          <w:sz w:val="20"/>
          <w:szCs w:val="20"/>
        </w:rPr>
        <w:t>possible</w:t>
      </w:r>
      <w:r w:rsidR="00415D21" w:rsidRPr="000833FA">
        <w:rPr>
          <w:rFonts w:ascii="Arial" w:hAnsi="Arial" w:cs="Arial"/>
          <w:sz w:val="20"/>
          <w:szCs w:val="20"/>
        </w:rPr>
        <w:t>)</w:t>
      </w:r>
      <w:r w:rsidRPr="000833FA">
        <w:rPr>
          <w:rFonts w:ascii="Arial" w:hAnsi="Arial" w:cs="Arial"/>
          <w:sz w:val="20"/>
          <w:szCs w:val="20"/>
        </w:rPr>
        <w:t xml:space="preserve"> representation </w:t>
      </w:r>
      <w:r w:rsidR="00693E1F">
        <w:rPr>
          <w:rFonts w:ascii="Arial" w:hAnsi="Arial" w:cs="Arial"/>
          <w:sz w:val="20"/>
          <w:szCs w:val="20"/>
        </w:rPr>
        <w:t xml:space="preserve">on these matters </w:t>
      </w:r>
      <w:r w:rsidR="005B4B49" w:rsidRPr="000833FA">
        <w:rPr>
          <w:rFonts w:ascii="Arial" w:hAnsi="Arial" w:cs="Arial"/>
          <w:sz w:val="20"/>
          <w:szCs w:val="20"/>
        </w:rPr>
        <w:t>should be</w:t>
      </w:r>
      <w:r w:rsidRPr="000833FA">
        <w:rPr>
          <w:rFonts w:ascii="Arial" w:hAnsi="Arial" w:cs="Arial"/>
          <w:sz w:val="20"/>
          <w:szCs w:val="20"/>
        </w:rPr>
        <w:t xml:space="preserve"> via Authorities rather than Departments.</w:t>
      </w:r>
    </w:p>
    <w:p w14:paraId="581A5257" w14:textId="5A9449EA" w:rsidR="00C21A92" w:rsidRPr="000833FA" w:rsidRDefault="00C21A92" w:rsidP="00716F69">
      <w:pPr>
        <w:spacing w:after="0" w:line="276" w:lineRule="auto"/>
        <w:rPr>
          <w:rFonts w:ascii="Arial" w:hAnsi="Arial" w:cs="Arial"/>
          <w:sz w:val="20"/>
          <w:szCs w:val="20"/>
        </w:rPr>
      </w:pPr>
    </w:p>
    <w:p w14:paraId="05E478FE" w14:textId="3DBC0284" w:rsidR="00C21A92" w:rsidRPr="000833FA" w:rsidRDefault="00C21A92" w:rsidP="00716F69">
      <w:pPr>
        <w:spacing w:after="0" w:line="276" w:lineRule="auto"/>
        <w:rPr>
          <w:rFonts w:ascii="Arial" w:hAnsi="Arial" w:cs="Arial"/>
          <w:sz w:val="20"/>
          <w:szCs w:val="20"/>
        </w:rPr>
      </w:pPr>
      <w:r w:rsidRPr="000833FA">
        <w:rPr>
          <w:rFonts w:ascii="Arial" w:hAnsi="Arial" w:cs="Arial"/>
          <w:sz w:val="20"/>
          <w:szCs w:val="20"/>
        </w:rPr>
        <w:t xml:space="preserve">The </w:t>
      </w:r>
      <w:r w:rsidR="00FB1889" w:rsidRPr="000833FA">
        <w:rPr>
          <w:rFonts w:ascii="Arial" w:hAnsi="Arial" w:cs="Arial"/>
          <w:sz w:val="20"/>
          <w:szCs w:val="20"/>
        </w:rPr>
        <w:t>jurisdictions</w:t>
      </w:r>
      <w:r w:rsidRPr="000833FA">
        <w:rPr>
          <w:rFonts w:ascii="Arial" w:hAnsi="Arial" w:cs="Arial"/>
          <w:sz w:val="20"/>
          <w:szCs w:val="20"/>
        </w:rPr>
        <w:t xml:space="preserve"> </w:t>
      </w:r>
      <w:r w:rsidR="00393C2F">
        <w:rPr>
          <w:rFonts w:ascii="Arial" w:hAnsi="Arial" w:cs="Arial"/>
          <w:sz w:val="20"/>
          <w:szCs w:val="20"/>
        </w:rPr>
        <w:t xml:space="preserve">paper </w:t>
      </w:r>
      <w:r w:rsidR="005B4B49" w:rsidRPr="000833FA">
        <w:rPr>
          <w:rFonts w:ascii="Arial" w:hAnsi="Arial" w:cs="Arial"/>
          <w:sz w:val="20"/>
          <w:szCs w:val="20"/>
        </w:rPr>
        <w:t xml:space="preserve">posited a </w:t>
      </w:r>
      <w:r w:rsidRPr="000833FA">
        <w:rPr>
          <w:rFonts w:ascii="Arial" w:hAnsi="Arial" w:cs="Arial"/>
          <w:sz w:val="20"/>
          <w:szCs w:val="20"/>
        </w:rPr>
        <w:t xml:space="preserve">similar </w:t>
      </w:r>
      <w:r w:rsidR="00FB1889" w:rsidRPr="000833FA">
        <w:rPr>
          <w:rFonts w:ascii="Arial" w:hAnsi="Arial" w:cs="Arial"/>
          <w:sz w:val="20"/>
          <w:szCs w:val="20"/>
        </w:rPr>
        <w:t>idea</w:t>
      </w:r>
      <w:r w:rsidR="005B4B49" w:rsidRPr="000833FA">
        <w:rPr>
          <w:rFonts w:ascii="Arial" w:hAnsi="Arial" w:cs="Arial"/>
          <w:sz w:val="20"/>
          <w:szCs w:val="20"/>
        </w:rPr>
        <w:t xml:space="preserve">; that intergovernmental forums such as the Council of Australian Governments </w:t>
      </w:r>
      <w:r w:rsidRPr="000833FA">
        <w:rPr>
          <w:rFonts w:ascii="Arial" w:hAnsi="Arial" w:cs="Arial"/>
          <w:sz w:val="20"/>
          <w:szCs w:val="20"/>
        </w:rPr>
        <w:t>b</w:t>
      </w:r>
      <w:r w:rsidR="005B4B49" w:rsidRPr="000833FA">
        <w:rPr>
          <w:rFonts w:ascii="Arial" w:hAnsi="Arial" w:cs="Arial"/>
          <w:sz w:val="20"/>
          <w:szCs w:val="20"/>
        </w:rPr>
        <w:t>e serviced by an organisation independent of Commonwealth Departments.</w:t>
      </w:r>
      <w:r w:rsidR="00DC4AD7">
        <w:rPr>
          <w:rFonts w:ascii="Arial" w:hAnsi="Arial" w:cs="Arial"/>
          <w:sz w:val="20"/>
          <w:szCs w:val="20"/>
        </w:rPr>
        <w:t xml:space="preserve">  However, </w:t>
      </w:r>
      <w:r w:rsidR="00AF1E4B">
        <w:rPr>
          <w:rFonts w:ascii="Arial" w:hAnsi="Arial" w:cs="Arial"/>
          <w:sz w:val="20"/>
          <w:szCs w:val="20"/>
        </w:rPr>
        <w:t>to have it overseen by ‘</w:t>
      </w:r>
      <w:r w:rsidR="00DC4AD7">
        <w:rPr>
          <w:rFonts w:ascii="Arial" w:hAnsi="Arial" w:cs="Arial"/>
          <w:sz w:val="20"/>
          <w:szCs w:val="20"/>
        </w:rPr>
        <w:t>Se</w:t>
      </w:r>
      <w:r w:rsidR="00AF1E4B">
        <w:rPr>
          <w:rFonts w:ascii="Arial" w:hAnsi="Arial" w:cs="Arial"/>
          <w:sz w:val="20"/>
          <w:szCs w:val="20"/>
        </w:rPr>
        <w:t>nior Officers’ would be a mistake.</w:t>
      </w:r>
      <w:r w:rsidR="009A58CD">
        <w:rPr>
          <w:rStyle w:val="EndnoteReference"/>
          <w:rFonts w:ascii="Arial" w:hAnsi="Arial" w:cs="Arial"/>
          <w:sz w:val="20"/>
          <w:szCs w:val="20"/>
        </w:rPr>
        <w:endnoteReference w:id="16"/>
      </w:r>
    </w:p>
    <w:p w14:paraId="4AEA06E8" w14:textId="48416173" w:rsidR="00C21A92" w:rsidRPr="000833FA" w:rsidRDefault="00C21A92" w:rsidP="00716F69">
      <w:pPr>
        <w:spacing w:after="0" w:line="276" w:lineRule="auto"/>
        <w:rPr>
          <w:rFonts w:ascii="Arial" w:hAnsi="Arial" w:cs="Arial"/>
          <w:sz w:val="20"/>
          <w:szCs w:val="20"/>
        </w:rPr>
      </w:pPr>
      <w:r w:rsidRPr="000833FA">
        <w:rPr>
          <w:rFonts w:ascii="Arial" w:hAnsi="Arial" w:cs="Arial"/>
          <w:sz w:val="20"/>
          <w:szCs w:val="20"/>
        </w:rPr>
        <w:t xml:space="preserve"> </w:t>
      </w:r>
    </w:p>
    <w:p w14:paraId="72764411" w14:textId="406A0FD3" w:rsidR="00C21A92" w:rsidRPr="000833FA" w:rsidRDefault="00C21A92" w:rsidP="00716F69">
      <w:pPr>
        <w:spacing w:after="0" w:line="276" w:lineRule="auto"/>
        <w:rPr>
          <w:rFonts w:ascii="Arial" w:hAnsi="Arial" w:cs="Arial"/>
          <w:sz w:val="20"/>
          <w:szCs w:val="20"/>
        </w:rPr>
      </w:pPr>
      <w:r w:rsidRPr="000833FA">
        <w:rPr>
          <w:rFonts w:ascii="Arial" w:hAnsi="Arial" w:cs="Arial"/>
          <w:sz w:val="20"/>
          <w:szCs w:val="20"/>
        </w:rPr>
        <w:t>Second, whether or not the principled position is adopted</w:t>
      </w:r>
      <w:r w:rsidR="00FB1889" w:rsidRPr="000833FA">
        <w:rPr>
          <w:rFonts w:ascii="Arial" w:hAnsi="Arial" w:cs="Arial"/>
          <w:sz w:val="20"/>
          <w:szCs w:val="20"/>
        </w:rPr>
        <w:t>,</w:t>
      </w:r>
      <w:r w:rsidRPr="000833FA">
        <w:rPr>
          <w:rFonts w:ascii="Arial" w:hAnsi="Arial" w:cs="Arial"/>
          <w:sz w:val="20"/>
          <w:szCs w:val="20"/>
        </w:rPr>
        <w:t xml:space="preserve"> the Public Service should make al</w:t>
      </w:r>
      <w:r w:rsidR="006B31FC">
        <w:rPr>
          <w:rFonts w:ascii="Arial" w:hAnsi="Arial" w:cs="Arial"/>
          <w:sz w:val="20"/>
          <w:szCs w:val="20"/>
        </w:rPr>
        <w:t xml:space="preserve">l </w:t>
      </w:r>
      <w:r w:rsidRPr="000833FA">
        <w:rPr>
          <w:rFonts w:ascii="Arial" w:hAnsi="Arial" w:cs="Arial"/>
          <w:sz w:val="20"/>
          <w:szCs w:val="20"/>
        </w:rPr>
        <w:t>Parliamentarians aware of the adverse consequences of overlap</w:t>
      </w:r>
      <w:r w:rsidR="00FB1889" w:rsidRPr="000833FA">
        <w:rPr>
          <w:rFonts w:ascii="Arial" w:hAnsi="Arial" w:cs="Arial"/>
          <w:sz w:val="20"/>
          <w:szCs w:val="20"/>
        </w:rPr>
        <w:t xml:space="preserve">s.  To my mind it is not good enough for an ‘institution’ </w:t>
      </w:r>
      <w:r w:rsidR="00D201C8">
        <w:rPr>
          <w:rFonts w:ascii="Arial" w:hAnsi="Arial" w:cs="Arial"/>
          <w:sz w:val="20"/>
          <w:szCs w:val="20"/>
        </w:rPr>
        <w:t>under</w:t>
      </w:r>
      <w:r w:rsidR="00FB1889" w:rsidRPr="000833FA">
        <w:rPr>
          <w:rFonts w:ascii="Arial" w:hAnsi="Arial" w:cs="Arial"/>
          <w:sz w:val="20"/>
          <w:szCs w:val="20"/>
        </w:rPr>
        <w:t xml:space="preserve"> ‘stewardship’ to simply sit back and await </w:t>
      </w:r>
      <w:r w:rsidR="00D201C8">
        <w:rPr>
          <w:rFonts w:ascii="Arial" w:hAnsi="Arial" w:cs="Arial"/>
          <w:sz w:val="20"/>
          <w:szCs w:val="20"/>
        </w:rPr>
        <w:t xml:space="preserve">uninformed </w:t>
      </w:r>
      <w:r w:rsidR="00FB1889" w:rsidRPr="000833FA">
        <w:rPr>
          <w:rFonts w:ascii="Arial" w:hAnsi="Arial" w:cs="Arial"/>
          <w:sz w:val="20"/>
          <w:szCs w:val="20"/>
        </w:rPr>
        <w:t>orders on the matter.</w:t>
      </w:r>
      <w:r w:rsidRPr="000833FA">
        <w:rPr>
          <w:rFonts w:ascii="Arial" w:hAnsi="Arial" w:cs="Arial"/>
          <w:sz w:val="20"/>
          <w:szCs w:val="20"/>
        </w:rPr>
        <w:t xml:space="preserve"> </w:t>
      </w:r>
    </w:p>
    <w:p w14:paraId="3E1E3969" w14:textId="77777777" w:rsidR="00C21A92" w:rsidRPr="000833FA" w:rsidRDefault="00C21A92" w:rsidP="00716F69">
      <w:pPr>
        <w:spacing w:after="0" w:line="276" w:lineRule="auto"/>
        <w:rPr>
          <w:rFonts w:ascii="Arial" w:hAnsi="Arial" w:cs="Arial"/>
          <w:sz w:val="20"/>
          <w:szCs w:val="20"/>
        </w:rPr>
      </w:pPr>
    </w:p>
    <w:p w14:paraId="142E1376" w14:textId="77777777" w:rsidR="00693E1F" w:rsidRDefault="00C21A92" w:rsidP="00716F69">
      <w:pPr>
        <w:spacing w:after="0" w:line="276" w:lineRule="auto"/>
        <w:rPr>
          <w:rFonts w:ascii="Arial" w:hAnsi="Arial" w:cs="Arial"/>
          <w:sz w:val="20"/>
          <w:szCs w:val="20"/>
        </w:rPr>
      </w:pPr>
      <w:r w:rsidRPr="000833FA">
        <w:rPr>
          <w:rFonts w:ascii="Arial" w:hAnsi="Arial" w:cs="Arial"/>
          <w:sz w:val="20"/>
          <w:szCs w:val="20"/>
        </w:rPr>
        <w:t>In transport these consequences start with the Commonwealth ignoring its responsibilities</w:t>
      </w:r>
      <w:r w:rsidR="00FB1889" w:rsidRPr="000833FA">
        <w:rPr>
          <w:rFonts w:ascii="Arial" w:hAnsi="Arial" w:cs="Arial"/>
          <w:sz w:val="20"/>
          <w:szCs w:val="20"/>
        </w:rPr>
        <w:t>.  They</w:t>
      </w:r>
      <w:r w:rsidRPr="000833FA">
        <w:rPr>
          <w:rFonts w:ascii="Arial" w:hAnsi="Arial" w:cs="Arial"/>
          <w:sz w:val="20"/>
          <w:szCs w:val="20"/>
        </w:rPr>
        <w:t xml:space="preserve"> extend to game playing </w:t>
      </w:r>
      <w:r w:rsidR="009A58CD">
        <w:rPr>
          <w:rFonts w:ascii="Arial" w:hAnsi="Arial" w:cs="Arial"/>
          <w:sz w:val="20"/>
          <w:szCs w:val="20"/>
        </w:rPr>
        <w:t>in intergovernmental forums</w:t>
      </w:r>
      <w:r w:rsidR="006B31FC">
        <w:rPr>
          <w:rFonts w:ascii="Arial" w:hAnsi="Arial" w:cs="Arial"/>
          <w:sz w:val="20"/>
          <w:szCs w:val="20"/>
        </w:rPr>
        <w:t>, to</w:t>
      </w:r>
      <w:r w:rsidR="009A58CD">
        <w:rPr>
          <w:rFonts w:ascii="Arial" w:hAnsi="Arial" w:cs="Arial"/>
          <w:sz w:val="20"/>
          <w:szCs w:val="20"/>
        </w:rPr>
        <w:t xml:space="preserve"> avoid considering significant national issues.  </w:t>
      </w:r>
      <w:r w:rsidR="009A58CD">
        <w:rPr>
          <w:rFonts w:ascii="Arial" w:hAnsi="Arial" w:cs="Arial"/>
          <w:sz w:val="20"/>
          <w:szCs w:val="20"/>
        </w:rPr>
        <w:lastRenderedPageBreak/>
        <w:t>They end up with</w:t>
      </w:r>
      <w:r w:rsidRPr="000833FA">
        <w:rPr>
          <w:rFonts w:ascii="Arial" w:hAnsi="Arial" w:cs="Arial"/>
          <w:sz w:val="20"/>
          <w:szCs w:val="20"/>
        </w:rPr>
        <w:t xml:space="preserve"> States claim</w:t>
      </w:r>
      <w:r w:rsidR="009A58CD">
        <w:rPr>
          <w:rFonts w:ascii="Arial" w:hAnsi="Arial" w:cs="Arial"/>
          <w:sz w:val="20"/>
          <w:szCs w:val="20"/>
        </w:rPr>
        <w:t>ing</w:t>
      </w:r>
      <w:r w:rsidRPr="000833FA">
        <w:rPr>
          <w:rFonts w:ascii="Arial" w:hAnsi="Arial" w:cs="Arial"/>
          <w:sz w:val="20"/>
          <w:szCs w:val="20"/>
        </w:rPr>
        <w:t xml:space="preserve"> they cannot meet their responsibilities without Commonwealth financial </w:t>
      </w:r>
      <w:r w:rsidR="009A58CD">
        <w:rPr>
          <w:rFonts w:ascii="Arial" w:hAnsi="Arial" w:cs="Arial"/>
          <w:sz w:val="20"/>
          <w:szCs w:val="20"/>
        </w:rPr>
        <w:t>gifts for particular infrastructure projects</w:t>
      </w:r>
      <w:r w:rsidRPr="000833FA">
        <w:rPr>
          <w:rFonts w:ascii="Arial" w:hAnsi="Arial" w:cs="Arial"/>
          <w:sz w:val="20"/>
          <w:szCs w:val="20"/>
        </w:rPr>
        <w:t>.</w:t>
      </w:r>
      <w:r w:rsidR="009A58CD">
        <w:rPr>
          <w:rStyle w:val="EndnoteReference"/>
          <w:rFonts w:ascii="Arial" w:hAnsi="Arial" w:cs="Arial"/>
          <w:sz w:val="20"/>
          <w:szCs w:val="20"/>
        </w:rPr>
        <w:endnoteReference w:id="17"/>
      </w:r>
      <w:r w:rsidRPr="000833FA">
        <w:rPr>
          <w:rFonts w:ascii="Arial" w:hAnsi="Arial" w:cs="Arial"/>
          <w:sz w:val="20"/>
          <w:szCs w:val="20"/>
        </w:rPr>
        <w:t xml:space="preserve">  </w:t>
      </w:r>
    </w:p>
    <w:p w14:paraId="288D4717" w14:textId="70B96A40" w:rsidR="00C21A92" w:rsidRPr="000833FA" w:rsidRDefault="00C21A92" w:rsidP="00716F69">
      <w:pPr>
        <w:spacing w:after="0" w:line="276" w:lineRule="auto"/>
        <w:rPr>
          <w:rFonts w:ascii="Arial" w:hAnsi="Arial" w:cs="Arial"/>
          <w:sz w:val="20"/>
          <w:szCs w:val="20"/>
        </w:rPr>
      </w:pPr>
      <w:r w:rsidRPr="000833FA">
        <w:rPr>
          <w:rFonts w:ascii="Arial" w:hAnsi="Arial" w:cs="Arial"/>
          <w:sz w:val="20"/>
          <w:szCs w:val="20"/>
        </w:rPr>
        <w:t xml:space="preserve"> </w:t>
      </w:r>
    </w:p>
    <w:p w14:paraId="74FE795B" w14:textId="77777777" w:rsidR="00D201C8" w:rsidRPr="00331763" w:rsidRDefault="00D201C8" w:rsidP="00D201C8">
      <w:pPr>
        <w:pStyle w:val="Heading4"/>
        <w:rPr>
          <w:rFonts w:ascii="Arial" w:hAnsi="Arial" w:cs="Arial"/>
          <w:sz w:val="20"/>
          <w:szCs w:val="20"/>
        </w:rPr>
      </w:pPr>
      <w:r w:rsidRPr="00331763">
        <w:rPr>
          <w:rFonts w:ascii="Arial" w:hAnsi="Arial" w:cs="Arial"/>
          <w:sz w:val="20"/>
          <w:szCs w:val="20"/>
        </w:rPr>
        <w:t>Departmental restructuring</w:t>
      </w:r>
    </w:p>
    <w:p w14:paraId="1B1D89F4" w14:textId="55C23650" w:rsidR="00F0287C" w:rsidRPr="000833FA" w:rsidRDefault="005B4B49" w:rsidP="00716F69">
      <w:pPr>
        <w:spacing w:after="0" w:line="276" w:lineRule="auto"/>
        <w:rPr>
          <w:rFonts w:ascii="Arial" w:hAnsi="Arial" w:cs="Arial"/>
          <w:sz w:val="20"/>
          <w:szCs w:val="20"/>
        </w:rPr>
      </w:pPr>
      <w:r w:rsidRPr="000833FA">
        <w:rPr>
          <w:rFonts w:ascii="Arial" w:hAnsi="Arial" w:cs="Arial"/>
          <w:sz w:val="20"/>
          <w:szCs w:val="20"/>
        </w:rPr>
        <w:t xml:space="preserve">The principles and consequences point to a </w:t>
      </w:r>
      <w:r w:rsidR="00F0287C" w:rsidRPr="000833FA">
        <w:rPr>
          <w:rFonts w:ascii="Arial" w:hAnsi="Arial" w:cs="Arial"/>
          <w:sz w:val="20"/>
          <w:szCs w:val="20"/>
        </w:rPr>
        <w:t>desirab</w:t>
      </w:r>
      <w:r w:rsidRPr="000833FA">
        <w:rPr>
          <w:rFonts w:ascii="Arial" w:hAnsi="Arial" w:cs="Arial"/>
          <w:sz w:val="20"/>
          <w:szCs w:val="20"/>
        </w:rPr>
        <w:t xml:space="preserve">ility </w:t>
      </w:r>
      <w:r w:rsidR="00F0287C" w:rsidRPr="000833FA">
        <w:rPr>
          <w:rFonts w:ascii="Arial" w:hAnsi="Arial" w:cs="Arial"/>
          <w:sz w:val="20"/>
          <w:szCs w:val="20"/>
        </w:rPr>
        <w:t xml:space="preserve">to restructure Departments that currently deal with matters within direct Commonwealth powers as well as conditional grants.  The Department of </w:t>
      </w:r>
      <w:r w:rsidR="00F0287C" w:rsidRPr="00E923B4">
        <w:rPr>
          <w:rFonts w:ascii="Arial" w:hAnsi="Arial" w:cs="Arial"/>
          <w:sz w:val="20"/>
          <w:szCs w:val="20"/>
        </w:rPr>
        <w:t>Infrastructure</w:t>
      </w:r>
      <w:r w:rsidR="0040254D" w:rsidRPr="00E923B4">
        <w:rPr>
          <w:rFonts w:ascii="Arial" w:hAnsi="Arial" w:cs="Arial"/>
          <w:sz w:val="20"/>
          <w:szCs w:val="20"/>
        </w:rPr>
        <w:t xml:space="preserve"> Regional Development and Cities</w:t>
      </w:r>
      <w:r w:rsidR="00F0287C" w:rsidRPr="00E923B4">
        <w:rPr>
          <w:rFonts w:ascii="Arial" w:hAnsi="Arial" w:cs="Arial"/>
          <w:sz w:val="20"/>
          <w:szCs w:val="20"/>
        </w:rPr>
        <w:t xml:space="preserve"> is one such Department.</w:t>
      </w:r>
      <w:r w:rsidR="009A58CD" w:rsidRPr="00E923B4">
        <w:rPr>
          <w:rFonts w:ascii="Arial" w:hAnsi="Arial" w:cs="Arial"/>
          <w:sz w:val="20"/>
          <w:szCs w:val="20"/>
        </w:rPr>
        <w:t xml:space="preserve">  The Departments very</w:t>
      </w:r>
      <w:r w:rsidR="009A58CD">
        <w:rPr>
          <w:rFonts w:ascii="Arial" w:hAnsi="Arial" w:cs="Arial"/>
          <w:sz w:val="20"/>
          <w:szCs w:val="20"/>
        </w:rPr>
        <w:t xml:space="preserve"> name indicates interest about matters which are State, not Commonwealth, responsibilities.</w:t>
      </w:r>
    </w:p>
    <w:p w14:paraId="57422510" w14:textId="77777777" w:rsidR="00F0287C" w:rsidRPr="000833FA" w:rsidRDefault="00F0287C" w:rsidP="00716F69">
      <w:pPr>
        <w:spacing w:after="0" w:line="276" w:lineRule="auto"/>
        <w:rPr>
          <w:rFonts w:ascii="Arial" w:hAnsi="Arial" w:cs="Arial"/>
          <w:sz w:val="20"/>
          <w:szCs w:val="20"/>
        </w:rPr>
      </w:pPr>
    </w:p>
    <w:p w14:paraId="2D80CD5F" w14:textId="77777777" w:rsidR="006B31FC" w:rsidRDefault="00F0287C" w:rsidP="00716F69">
      <w:pPr>
        <w:spacing w:after="0" w:line="276" w:lineRule="auto"/>
        <w:rPr>
          <w:rFonts w:ascii="Arial" w:hAnsi="Arial" w:cs="Arial"/>
          <w:sz w:val="20"/>
          <w:szCs w:val="20"/>
        </w:rPr>
      </w:pPr>
      <w:r w:rsidRPr="000833FA">
        <w:rPr>
          <w:rFonts w:ascii="Arial" w:hAnsi="Arial" w:cs="Arial"/>
          <w:sz w:val="20"/>
          <w:szCs w:val="20"/>
        </w:rPr>
        <w:t xml:space="preserve">The restructure </w:t>
      </w:r>
      <w:r w:rsidR="006B31FC">
        <w:rPr>
          <w:rFonts w:ascii="Arial" w:hAnsi="Arial" w:cs="Arial"/>
          <w:sz w:val="20"/>
          <w:szCs w:val="20"/>
        </w:rPr>
        <w:t>sh</w:t>
      </w:r>
      <w:r w:rsidRPr="000833FA">
        <w:rPr>
          <w:rFonts w:ascii="Arial" w:hAnsi="Arial" w:cs="Arial"/>
          <w:sz w:val="20"/>
          <w:szCs w:val="20"/>
        </w:rPr>
        <w:t>ould separate from that Department the function of advising on State grants.  Such advice</w:t>
      </w:r>
      <w:r w:rsidR="009A58CD">
        <w:rPr>
          <w:rFonts w:ascii="Arial" w:hAnsi="Arial" w:cs="Arial"/>
          <w:sz w:val="20"/>
          <w:szCs w:val="20"/>
        </w:rPr>
        <w:t xml:space="preserve"> </w:t>
      </w:r>
      <w:r w:rsidRPr="000833FA">
        <w:rPr>
          <w:rFonts w:ascii="Arial" w:hAnsi="Arial" w:cs="Arial"/>
          <w:sz w:val="20"/>
          <w:szCs w:val="20"/>
        </w:rPr>
        <w:t xml:space="preserve">needs to be available to Parliament </w:t>
      </w:r>
      <w:r w:rsidR="009A58CD">
        <w:rPr>
          <w:rFonts w:ascii="Arial" w:hAnsi="Arial" w:cs="Arial"/>
          <w:sz w:val="20"/>
          <w:szCs w:val="20"/>
        </w:rPr>
        <w:t xml:space="preserve">because Parliament is to set conditions on State grants.  </w:t>
      </w:r>
    </w:p>
    <w:p w14:paraId="3BCC5718" w14:textId="77777777" w:rsidR="006B31FC" w:rsidRDefault="006B31FC" w:rsidP="00716F69">
      <w:pPr>
        <w:spacing w:after="0" w:line="276" w:lineRule="auto"/>
        <w:rPr>
          <w:rFonts w:ascii="Arial" w:hAnsi="Arial" w:cs="Arial"/>
          <w:sz w:val="20"/>
          <w:szCs w:val="20"/>
        </w:rPr>
      </w:pPr>
    </w:p>
    <w:p w14:paraId="1F94C556" w14:textId="6ED5F253" w:rsidR="00F0287C" w:rsidRPr="000833FA" w:rsidRDefault="009A58CD" w:rsidP="00716F69">
      <w:pPr>
        <w:spacing w:after="0" w:line="276" w:lineRule="auto"/>
        <w:rPr>
          <w:rFonts w:ascii="Arial" w:hAnsi="Arial" w:cs="Arial"/>
          <w:sz w:val="20"/>
          <w:szCs w:val="20"/>
        </w:rPr>
      </w:pPr>
      <w:r>
        <w:rPr>
          <w:rFonts w:ascii="Arial" w:hAnsi="Arial" w:cs="Arial"/>
          <w:sz w:val="20"/>
          <w:szCs w:val="20"/>
        </w:rPr>
        <w:t xml:space="preserve">It is conceivable, possibly likely, that adequate advice to Parliament </w:t>
      </w:r>
      <w:r w:rsidR="006B31FC">
        <w:rPr>
          <w:rFonts w:ascii="Arial" w:hAnsi="Arial" w:cs="Arial"/>
          <w:sz w:val="20"/>
          <w:szCs w:val="20"/>
        </w:rPr>
        <w:t xml:space="preserve">needs to </w:t>
      </w:r>
      <w:r>
        <w:rPr>
          <w:rFonts w:ascii="Arial" w:hAnsi="Arial" w:cs="Arial"/>
          <w:sz w:val="20"/>
          <w:szCs w:val="20"/>
        </w:rPr>
        <w:t xml:space="preserve">cover matters beyond those considered important by Government.  The Department, </w:t>
      </w:r>
      <w:r w:rsidR="004916B5">
        <w:rPr>
          <w:rFonts w:ascii="Arial" w:hAnsi="Arial" w:cs="Arial"/>
          <w:sz w:val="20"/>
          <w:szCs w:val="20"/>
        </w:rPr>
        <w:t>which</w:t>
      </w:r>
      <w:r>
        <w:rPr>
          <w:rFonts w:ascii="Arial" w:hAnsi="Arial" w:cs="Arial"/>
          <w:sz w:val="20"/>
          <w:szCs w:val="20"/>
        </w:rPr>
        <w:t xml:space="preserve"> repres</w:t>
      </w:r>
      <w:r w:rsidR="004916B5">
        <w:rPr>
          <w:rFonts w:ascii="Arial" w:hAnsi="Arial" w:cs="Arial"/>
          <w:sz w:val="20"/>
          <w:szCs w:val="20"/>
        </w:rPr>
        <w:t xml:space="preserve">ents </w:t>
      </w:r>
      <w:r w:rsidR="00F0287C" w:rsidRPr="000833FA">
        <w:rPr>
          <w:rFonts w:ascii="Arial" w:hAnsi="Arial" w:cs="Arial"/>
          <w:sz w:val="20"/>
          <w:szCs w:val="20"/>
        </w:rPr>
        <w:t>Government</w:t>
      </w:r>
      <w:r w:rsidR="004916B5">
        <w:rPr>
          <w:rFonts w:ascii="Arial" w:hAnsi="Arial" w:cs="Arial"/>
          <w:sz w:val="20"/>
          <w:szCs w:val="20"/>
        </w:rPr>
        <w:t>, cannot give such advice.  Hence the advice</w:t>
      </w:r>
      <w:r w:rsidR="00F0287C" w:rsidRPr="000833FA">
        <w:rPr>
          <w:rFonts w:ascii="Arial" w:hAnsi="Arial" w:cs="Arial"/>
          <w:sz w:val="20"/>
          <w:szCs w:val="20"/>
        </w:rPr>
        <w:t xml:space="preserve"> should come from an Authority such as a Grants Commission.</w:t>
      </w:r>
      <w:r w:rsidR="00F0287C" w:rsidRPr="000833FA">
        <w:rPr>
          <w:rStyle w:val="EndnoteReference"/>
          <w:rFonts w:ascii="Arial" w:hAnsi="Arial" w:cs="Arial"/>
          <w:sz w:val="20"/>
          <w:szCs w:val="20"/>
        </w:rPr>
        <w:endnoteReference w:id="18"/>
      </w:r>
    </w:p>
    <w:p w14:paraId="296324A6" w14:textId="77777777" w:rsidR="00F0287C" w:rsidRPr="000833FA" w:rsidRDefault="00F0287C" w:rsidP="00716F69">
      <w:pPr>
        <w:spacing w:after="0" w:line="276" w:lineRule="auto"/>
        <w:rPr>
          <w:rFonts w:ascii="Arial" w:hAnsi="Arial" w:cs="Arial"/>
          <w:sz w:val="20"/>
          <w:szCs w:val="20"/>
        </w:rPr>
      </w:pPr>
    </w:p>
    <w:p w14:paraId="7F6C64E3" w14:textId="77777777" w:rsidR="00331763" w:rsidRPr="00331763" w:rsidRDefault="00331763" w:rsidP="00331763">
      <w:pPr>
        <w:pStyle w:val="Heading4"/>
        <w:rPr>
          <w:rFonts w:ascii="Arial" w:hAnsi="Arial" w:cs="Arial"/>
          <w:sz w:val="20"/>
          <w:szCs w:val="20"/>
        </w:rPr>
      </w:pPr>
      <w:r w:rsidRPr="00331763">
        <w:rPr>
          <w:rFonts w:ascii="Arial" w:hAnsi="Arial" w:cs="Arial"/>
          <w:sz w:val="20"/>
          <w:szCs w:val="20"/>
        </w:rPr>
        <w:t>Implications for Australian Public Service</w:t>
      </w:r>
    </w:p>
    <w:p w14:paraId="66CCF96D" w14:textId="68896308" w:rsidR="004916B5" w:rsidRDefault="00F0287C" w:rsidP="00716F69">
      <w:pPr>
        <w:spacing w:after="0" w:line="276" w:lineRule="auto"/>
        <w:rPr>
          <w:rFonts w:ascii="Arial" w:hAnsi="Arial" w:cs="Arial"/>
          <w:sz w:val="20"/>
          <w:szCs w:val="20"/>
        </w:rPr>
      </w:pPr>
      <w:r w:rsidRPr="000833FA">
        <w:rPr>
          <w:rFonts w:ascii="Arial" w:hAnsi="Arial" w:cs="Arial"/>
          <w:sz w:val="20"/>
          <w:szCs w:val="20"/>
        </w:rPr>
        <w:t xml:space="preserve">If this is not done, public servants </w:t>
      </w:r>
      <w:r w:rsidR="00331763">
        <w:rPr>
          <w:rFonts w:ascii="Arial" w:hAnsi="Arial" w:cs="Arial"/>
          <w:sz w:val="20"/>
          <w:szCs w:val="20"/>
        </w:rPr>
        <w:t xml:space="preserve">relevantly </w:t>
      </w:r>
      <w:r w:rsidRPr="000833FA">
        <w:rPr>
          <w:rFonts w:ascii="Arial" w:hAnsi="Arial" w:cs="Arial"/>
          <w:sz w:val="20"/>
          <w:szCs w:val="20"/>
        </w:rPr>
        <w:t xml:space="preserve">engaged in that Department face a conflict of </w:t>
      </w:r>
      <w:r w:rsidR="001214DA">
        <w:rPr>
          <w:rFonts w:ascii="Arial" w:hAnsi="Arial" w:cs="Arial"/>
          <w:sz w:val="20"/>
          <w:szCs w:val="20"/>
        </w:rPr>
        <w:t>interest</w:t>
      </w:r>
      <w:r w:rsidR="004916B5">
        <w:rPr>
          <w:rFonts w:ascii="Arial" w:hAnsi="Arial" w:cs="Arial"/>
          <w:sz w:val="20"/>
          <w:szCs w:val="20"/>
        </w:rPr>
        <w:t>.  Do they represent the Government’s views on what conditions should be included in State grants, or do they (potentially) critique the Government’s views in the interest of properly informing Parliament?</w:t>
      </w:r>
    </w:p>
    <w:p w14:paraId="203617A8" w14:textId="77777777" w:rsidR="004916B5" w:rsidRDefault="004916B5" w:rsidP="00716F69">
      <w:pPr>
        <w:spacing w:after="0" w:line="276" w:lineRule="auto"/>
        <w:rPr>
          <w:rFonts w:ascii="Arial" w:hAnsi="Arial" w:cs="Arial"/>
          <w:sz w:val="20"/>
          <w:szCs w:val="20"/>
        </w:rPr>
      </w:pPr>
    </w:p>
    <w:p w14:paraId="5B81B4D1" w14:textId="312EF690" w:rsidR="00F0287C" w:rsidRPr="000833FA" w:rsidRDefault="004916B5" w:rsidP="00716F69">
      <w:pPr>
        <w:spacing w:after="0" w:line="276" w:lineRule="auto"/>
        <w:rPr>
          <w:rFonts w:ascii="Arial" w:hAnsi="Arial" w:cs="Arial"/>
          <w:sz w:val="20"/>
          <w:szCs w:val="20"/>
        </w:rPr>
      </w:pPr>
      <w:r>
        <w:rPr>
          <w:rFonts w:ascii="Arial" w:hAnsi="Arial" w:cs="Arial"/>
          <w:sz w:val="20"/>
          <w:szCs w:val="20"/>
        </w:rPr>
        <w:t>In this conflict, t</w:t>
      </w:r>
      <w:r w:rsidR="00331763">
        <w:rPr>
          <w:rFonts w:ascii="Arial" w:hAnsi="Arial" w:cs="Arial"/>
          <w:sz w:val="20"/>
          <w:szCs w:val="20"/>
        </w:rPr>
        <w:t>he</w:t>
      </w:r>
      <w:r w:rsidR="00F0287C" w:rsidRPr="000833FA">
        <w:rPr>
          <w:rFonts w:ascii="Arial" w:hAnsi="Arial" w:cs="Arial"/>
          <w:sz w:val="20"/>
          <w:szCs w:val="20"/>
        </w:rPr>
        <w:t xml:space="preserve"> Department is vulnerable to losing direction</w:t>
      </w:r>
      <w:r>
        <w:rPr>
          <w:rFonts w:ascii="Arial" w:hAnsi="Arial" w:cs="Arial"/>
          <w:sz w:val="20"/>
          <w:szCs w:val="20"/>
        </w:rPr>
        <w:t xml:space="preserve">. It cannot orient itself merely by referring to conditions on grants since any conditions are permitted.  It </w:t>
      </w:r>
      <w:r w:rsidR="006B31FC">
        <w:rPr>
          <w:rFonts w:ascii="Arial" w:hAnsi="Arial" w:cs="Arial"/>
          <w:sz w:val="20"/>
          <w:szCs w:val="20"/>
        </w:rPr>
        <w:t xml:space="preserve">will </w:t>
      </w:r>
      <w:r>
        <w:rPr>
          <w:rFonts w:ascii="Arial" w:hAnsi="Arial" w:cs="Arial"/>
          <w:sz w:val="20"/>
          <w:szCs w:val="20"/>
        </w:rPr>
        <w:t xml:space="preserve">face and cause real problems if it </w:t>
      </w:r>
      <w:r w:rsidR="00F0287C" w:rsidRPr="000833FA">
        <w:rPr>
          <w:rFonts w:ascii="Arial" w:hAnsi="Arial" w:cs="Arial"/>
          <w:sz w:val="20"/>
          <w:szCs w:val="20"/>
        </w:rPr>
        <w:t>interpret</w:t>
      </w:r>
      <w:r>
        <w:rPr>
          <w:rFonts w:ascii="Arial" w:hAnsi="Arial" w:cs="Arial"/>
          <w:sz w:val="20"/>
          <w:szCs w:val="20"/>
        </w:rPr>
        <w:t>s</w:t>
      </w:r>
      <w:r w:rsidR="00F0287C" w:rsidRPr="000833FA">
        <w:rPr>
          <w:rFonts w:ascii="Arial" w:hAnsi="Arial" w:cs="Arial"/>
          <w:sz w:val="20"/>
          <w:szCs w:val="20"/>
        </w:rPr>
        <w:t xml:space="preserve"> conditions on grants</w:t>
      </w:r>
      <w:r>
        <w:rPr>
          <w:rFonts w:ascii="Arial" w:hAnsi="Arial" w:cs="Arial"/>
          <w:sz w:val="20"/>
          <w:szCs w:val="20"/>
        </w:rPr>
        <w:t xml:space="preserve"> as </w:t>
      </w:r>
      <w:r w:rsidR="00F0287C" w:rsidRPr="000833FA">
        <w:rPr>
          <w:rFonts w:ascii="Arial" w:hAnsi="Arial" w:cs="Arial"/>
          <w:sz w:val="20"/>
          <w:szCs w:val="20"/>
        </w:rPr>
        <w:t>being purposes of the Commonwealth</w:t>
      </w:r>
      <w:r>
        <w:rPr>
          <w:rFonts w:ascii="Arial" w:hAnsi="Arial" w:cs="Arial"/>
          <w:sz w:val="20"/>
          <w:szCs w:val="20"/>
        </w:rPr>
        <w:t>.</w:t>
      </w:r>
      <w:r w:rsidR="00F0287C" w:rsidRPr="000833FA">
        <w:rPr>
          <w:rFonts w:ascii="Arial" w:hAnsi="Arial" w:cs="Arial"/>
          <w:sz w:val="20"/>
          <w:szCs w:val="20"/>
        </w:rPr>
        <w:t xml:space="preserve">  </w:t>
      </w:r>
    </w:p>
    <w:p w14:paraId="1A029ED4" w14:textId="77777777" w:rsidR="00F0287C" w:rsidRPr="000833FA" w:rsidRDefault="00F0287C" w:rsidP="00716F69">
      <w:pPr>
        <w:spacing w:after="0" w:line="276" w:lineRule="auto"/>
        <w:rPr>
          <w:rFonts w:ascii="Arial" w:hAnsi="Arial" w:cs="Arial"/>
          <w:sz w:val="20"/>
          <w:szCs w:val="20"/>
        </w:rPr>
      </w:pPr>
    </w:p>
    <w:p w14:paraId="7193E9E1" w14:textId="5E28CD7D"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 xml:space="preserve">The vulnerability may become expressed in ‘creative writing’ by public servants; exculpating Ministerial grandstanding by </w:t>
      </w:r>
      <w:r w:rsidR="00331763">
        <w:rPr>
          <w:rFonts w:ascii="Arial" w:hAnsi="Arial" w:cs="Arial"/>
          <w:sz w:val="20"/>
          <w:szCs w:val="20"/>
        </w:rPr>
        <w:t xml:space="preserve">pretending </w:t>
      </w:r>
      <w:r w:rsidRPr="000833FA">
        <w:rPr>
          <w:rFonts w:ascii="Arial" w:hAnsi="Arial" w:cs="Arial"/>
          <w:sz w:val="20"/>
          <w:szCs w:val="20"/>
        </w:rPr>
        <w:t>grants hav</w:t>
      </w:r>
      <w:r w:rsidR="00331763">
        <w:rPr>
          <w:rFonts w:ascii="Arial" w:hAnsi="Arial" w:cs="Arial"/>
          <w:sz w:val="20"/>
          <w:szCs w:val="20"/>
        </w:rPr>
        <w:t>e</w:t>
      </w:r>
      <w:r w:rsidRPr="000833FA">
        <w:rPr>
          <w:rFonts w:ascii="Arial" w:hAnsi="Arial" w:cs="Arial"/>
          <w:sz w:val="20"/>
          <w:szCs w:val="20"/>
        </w:rPr>
        <w:t xml:space="preserve"> some deeper purpose than vote harvesting. While not necessarily a problem for Departmental public servants in their role as representing the Government, it carries two risks.  </w:t>
      </w:r>
    </w:p>
    <w:p w14:paraId="528045C9" w14:textId="77777777" w:rsidR="00F0287C" w:rsidRPr="000833FA" w:rsidRDefault="00F0287C" w:rsidP="00716F69">
      <w:pPr>
        <w:spacing w:after="0" w:line="276" w:lineRule="auto"/>
        <w:rPr>
          <w:rFonts w:ascii="Arial" w:hAnsi="Arial" w:cs="Arial"/>
          <w:sz w:val="20"/>
          <w:szCs w:val="20"/>
        </w:rPr>
      </w:pPr>
    </w:p>
    <w:p w14:paraId="277828A5" w14:textId="24ACC462" w:rsidR="00331763" w:rsidRDefault="00F0287C" w:rsidP="00716F69">
      <w:pPr>
        <w:spacing w:after="0" w:line="276" w:lineRule="auto"/>
        <w:rPr>
          <w:rFonts w:ascii="Arial" w:hAnsi="Arial" w:cs="Arial"/>
          <w:sz w:val="20"/>
          <w:szCs w:val="20"/>
        </w:rPr>
      </w:pPr>
      <w:r w:rsidRPr="000833FA">
        <w:rPr>
          <w:rFonts w:ascii="Arial" w:hAnsi="Arial" w:cs="Arial"/>
          <w:sz w:val="20"/>
          <w:szCs w:val="20"/>
        </w:rPr>
        <w:t>First, exculpation can extend from representing the Government to advising the Government</w:t>
      </w:r>
      <w:r w:rsidR="006B31FC">
        <w:rPr>
          <w:rFonts w:ascii="Arial" w:hAnsi="Arial" w:cs="Arial"/>
          <w:sz w:val="20"/>
          <w:szCs w:val="20"/>
        </w:rPr>
        <w:t xml:space="preserve">.  </w:t>
      </w:r>
      <w:r w:rsidR="00693E1F">
        <w:rPr>
          <w:rFonts w:ascii="Arial" w:hAnsi="Arial" w:cs="Arial"/>
          <w:sz w:val="20"/>
          <w:szCs w:val="20"/>
        </w:rPr>
        <w:t>It can lead to</w:t>
      </w:r>
      <w:r w:rsidR="006B31FC">
        <w:rPr>
          <w:rFonts w:ascii="Arial" w:hAnsi="Arial" w:cs="Arial"/>
          <w:sz w:val="20"/>
          <w:szCs w:val="20"/>
        </w:rPr>
        <w:t xml:space="preserve"> </w:t>
      </w:r>
      <w:r w:rsidR="001214DA">
        <w:rPr>
          <w:rFonts w:ascii="Arial" w:hAnsi="Arial" w:cs="Arial"/>
          <w:sz w:val="20"/>
          <w:szCs w:val="20"/>
        </w:rPr>
        <w:t>Departmental public servants encouraging</w:t>
      </w:r>
      <w:r w:rsidR="004916B5">
        <w:rPr>
          <w:rFonts w:ascii="Arial" w:hAnsi="Arial" w:cs="Arial"/>
          <w:sz w:val="20"/>
          <w:szCs w:val="20"/>
        </w:rPr>
        <w:t xml:space="preserve"> </w:t>
      </w:r>
      <w:r w:rsidRPr="000833FA">
        <w:rPr>
          <w:rFonts w:ascii="Arial" w:hAnsi="Arial" w:cs="Arial"/>
          <w:sz w:val="20"/>
          <w:szCs w:val="20"/>
        </w:rPr>
        <w:t>Ministerial grandstanding</w:t>
      </w:r>
      <w:r w:rsidR="001214DA">
        <w:rPr>
          <w:rFonts w:ascii="Arial" w:hAnsi="Arial" w:cs="Arial"/>
          <w:sz w:val="20"/>
          <w:szCs w:val="20"/>
        </w:rPr>
        <w:t>, which will benefit the</w:t>
      </w:r>
      <w:r w:rsidR="00693E1F">
        <w:rPr>
          <w:rFonts w:ascii="Arial" w:hAnsi="Arial" w:cs="Arial"/>
          <w:sz w:val="20"/>
          <w:szCs w:val="20"/>
        </w:rPr>
        <w:t>ir</w:t>
      </w:r>
      <w:r w:rsidR="001214DA">
        <w:rPr>
          <w:rFonts w:ascii="Arial" w:hAnsi="Arial" w:cs="Arial"/>
          <w:sz w:val="20"/>
          <w:szCs w:val="20"/>
        </w:rPr>
        <w:t xml:space="preserve"> </w:t>
      </w:r>
      <w:r w:rsidR="00693E1F">
        <w:rPr>
          <w:rFonts w:ascii="Arial" w:hAnsi="Arial" w:cs="Arial"/>
          <w:sz w:val="20"/>
          <w:szCs w:val="20"/>
        </w:rPr>
        <w:t xml:space="preserve">private interest via the </w:t>
      </w:r>
      <w:r w:rsidR="001214DA">
        <w:rPr>
          <w:rFonts w:ascii="Arial" w:hAnsi="Arial" w:cs="Arial"/>
          <w:sz w:val="20"/>
          <w:szCs w:val="20"/>
        </w:rPr>
        <w:t>Department administering larger programs and more public monies etc.</w:t>
      </w:r>
      <w:r w:rsidRPr="000833FA">
        <w:rPr>
          <w:rFonts w:ascii="Arial" w:hAnsi="Arial" w:cs="Arial"/>
          <w:sz w:val="20"/>
          <w:szCs w:val="20"/>
        </w:rPr>
        <w:t xml:space="preserve">  </w:t>
      </w:r>
    </w:p>
    <w:p w14:paraId="16829955" w14:textId="77777777" w:rsidR="00331763" w:rsidRDefault="00331763" w:rsidP="00716F69">
      <w:pPr>
        <w:spacing w:after="0" w:line="276" w:lineRule="auto"/>
        <w:rPr>
          <w:rFonts w:ascii="Arial" w:hAnsi="Arial" w:cs="Arial"/>
          <w:sz w:val="20"/>
          <w:szCs w:val="20"/>
        </w:rPr>
      </w:pPr>
    </w:p>
    <w:p w14:paraId="1E022356" w14:textId="2B4104E8" w:rsidR="00F0287C" w:rsidRDefault="00F0287C" w:rsidP="00716F69">
      <w:pPr>
        <w:spacing w:after="0" w:line="276" w:lineRule="auto"/>
        <w:rPr>
          <w:rFonts w:ascii="Arial" w:hAnsi="Arial" w:cs="Arial"/>
          <w:sz w:val="20"/>
          <w:szCs w:val="20"/>
        </w:rPr>
      </w:pPr>
      <w:r w:rsidRPr="000833FA">
        <w:rPr>
          <w:rFonts w:ascii="Arial" w:hAnsi="Arial" w:cs="Arial"/>
          <w:sz w:val="20"/>
          <w:szCs w:val="20"/>
        </w:rPr>
        <w:t>Second, it may cross the thin line between representing the Government and knowingly misrepresenting what the Government is doing; falsely advising the public of motivations etc.</w:t>
      </w:r>
    </w:p>
    <w:p w14:paraId="78660681" w14:textId="7D1474FA" w:rsidR="00331763" w:rsidRDefault="00331763" w:rsidP="00716F69">
      <w:pPr>
        <w:spacing w:after="0" w:line="276" w:lineRule="auto"/>
        <w:rPr>
          <w:rFonts w:ascii="Arial" w:hAnsi="Arial" w:cs="Arial"/>
          <w:sz w:val="20"/>
          <w:szCs w:val="20"/>
        </w:rPr>
      </w:pPr>
    </w:p>
    <w:p w14:paraId="035E5970" w14:textId="77777777" w:rsidR="00F0287C" w:rsidRPr="00850CBC" w:rsidRDefault="00F0287C" w:rsidP="00716F69">
      <w:pPr>
        <w:pStyle w:val="Heading3"/>
        <w:spacing w:before="0" w:line="276" w:lineRule="auto"/>
        <w:rPr>
          <w:rFonts w:ascii="Arial" w:hAnsi="Arial" w:cs="Arial"/>
        </w:rPr>
      </w:pPr>
      <w:bookmarkStart w:id="7" w:name="_Toc7446750"/>
      <w:r w:rsidRPr="00850CBC">
        <w:rPr>
          <w:rFonts w:ascii="Arial" w:hAnsi="Arial" w:cs="Arial"/>
        </w:rPr>
        <w:t>2.5</w:t>
      </w:r>
      <w:r w:rsidRPr="00850CBC">
        <w:rPr>
          <w:rFonts w:ascii="Arial" w:hAnsi="Arial" w:cs="Arial"/>
        </w:rPr>
        <w:tab/>
        <w:t>Implications for review</w:t>
      </w:r>
      <w:bookmarkEnd w:id="7"/>
    </w:p>
    <w:p w14:paraId="5599D1D6" w14:textId="77777777" w:rsidR="00F0287C" w:rsidRPr="000833FA" w:rsidRDefault="00F0287C" w:rsidP="00716F69">
      <w:pPr>
        <w:pStyle w:val="Heading4"/>
        <w:spacing w:before="0" w:line="276" w:lineRule="auto"/>
        <w:rPr>
          <w:rFonts w:ascii="Arial" w:hAnsi="Arial" w:cs="Arial"/>
          <w:sz w:val="20"/>
          <w:szCs w:val="20"/>
        </w:rPr>
      </w:pPr>
      <w:r w:rsidRPr="000833FA">
        <w:rPr>
          <w:rFonts w:ascii="Arial" w:hAnsi="Arial" w:cs="Arial"/>
          <w:sz w:val="20"/>
          <w:szCs w:val="20"/>
        </w:rPr>
        <w:t>Commonwealth purposes</w:t>
      </w:r>
    </w:p>
    <w:p w14:paraId="0913E8C5" w14:textId="7C255358" w:rsidR="00F0287C" w:rsidRPr="000833FA" w:rsidRDefault="00331763" w:rsidP="00716F69">
      <w:pPr>
        <w:spacing w:after="0" w:line="276" w:lineRule="auto"/>
        <w:rPr>
          <w:rFonts w:ascii="Arial" w:hAnsi="Arial" w:cs="Arial"/>
          <w:sz w:val="20"/>
          <w:szCs w:val="20"/>
        </w:rPr>
      </w:pPr>
      <w:r>
        <w:rPr>
          <w:rFonts w:ascii="Arial" w:hAnsi="Arial" w:cs="Arial"/>
          <w:sz w:val="20"/>
          <w:szCs w:val="20"/>
        </w:rPr>
        <w:t xml:space="preserve">The review should recognise limits to </w:t>
      </w:r>
      <w:r w:rsidR="00F0287C" w:rsidRPr="000833FA">
        <w:rPr>
          <w:rFonts w:ascii="Arial" w:hAnsi="Arial" w:cs="Arial"/>
          <w:sz w:val="20"/>
          <w:szCs w:val="20"/>
        </w:rPr>
        <w:t>Commonwealth purposes.  The</w:t>
      </w:r>
      <w:r>
        <w:rPr>
          <w:rFonts w:ascii="Arial" w:hAnsi="Arial" w:cs="Arial"/>
          <w:sz w:val="20"/>
          <w:szCs w:val="20"/>
        </w:rPr>
        <w:t>se</w:t>
      </w:r>
      <w:r w:rsidR="00F0287C" w:rsidRPr="000833FA">
        <w:rPr>
          <w:rFonts w:ascii="Arial" w:hAnsi="Arial" w:cs="Arial"/>
          <w:sz w:val="20"/>
          <w:szCs w:val="20"/>
        </w:rPr>
        <w:t xml:space="preserve"> are matters set by the Constitution for legislative competence and implied Executive powers.</w:t>
      </w:r>
    </w:p>
    <w:p w14:paraId="5BD581DD" w14:textId="77777777" w:rsidR="00F0287C" w:rsidRPr="000833FA" w:rsidRDefault="00F0287C" w:rsidP="00716F69">
      <w:pPr>
        <w:spacing w:after="0" w:line="276" w:lineRule="auto"/>
        <w:rPr>
          <w:rFonts w:ascii="Arial" w:hAnsi="Arial" w:cs="Arial"/>
          <w:sz w:val="20"/>
          <w:szCs w:val="20"/>
        </w:rPr>
      </w:pPr>
    </w:p>
    <w:p w14:paraId="28E3F33F" w14:textId="599B7284"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 xml:space="preserve">Grants to the States can be a purpose, however, conditions attaching to a grant neither need reflect a Commonwealth purpose nor can they create a purpose.  The ways in which </w:t>
      </w:r>
      <w:r w:rsidR="00693E1F">
        <w:rPr>
          <w:rFonts w:ascii="Arial" w:hAnsi="Arial" w:cs="Arial"/>
          <w:sz w:val="20"/>
          <w:szCs w:val="20"/>
        </w:rPr>
        <w:t xml:space="preserve">an </w:t>
      </w:r>
      <w:r w:rsidRPr="000833FA">
        <w:rPr>
          <w:rFonts w:ascii="Arial" w:hAnsi="Arial" w:cs="Arial"/>
          <w:sz w:val="20"/>
          <w:szCs w:val="20"/>
        </w:rPr>
        <w:t>additional</w:t>
      </w:r>
      <w:r w:rsidR="00693E1F">
        <w:rPr>
          <w:rFonts w:ascii="Arial" w:hAnsi="Arial" w:cs="Arial"/>
          <w:sz w:val="20"/>
          <w:szCs w:val="20"/>
        </w:rPr>
        <w:t xml:space="preserve"> </w:t>
      </w:r>
      <w:r w:rsidRPr="000833FA">
        <w:rPr>
          <w:rFonts w:ascii="Arial" w:hAnsi="Arial" w:cs="Arial"/>
          <w:sz w:val="20"/>
          <w:szCs w:val="20"/>
        </w:rPr>
        <w:t>Commonwealth purpose can be created are limited to referral of powers by States to the Commonwealth or Constitutional change via referendum.</w:t>
      </w:r>
    </w:p>
    <w:p w14:paraId="4BF78A4F" w14:textId="77777777" w:rsidR="00F0287C" w:rsidRPr="000833FA" w:rsidRDefault="00F0287C" w:rsidP="00716F69">
      <w:pPr>
        <w:spacing w:after="0" w:line="276" w:lineRule="auto"/>
        <w:rPr>
          <w:rFonts w:ascii="Arial" w:hAnsi="Arial" w:cs="Arial"/>
          <w:sz w:val="20"/>
          <w:szCs w:val="20"/>
        </w:rPr>
      </w:pPr>
    </w:p>
    <w:p w14:paraId="7281CB0B" w14:textId="77777777" w:rsidR="00F0287C" w:rsidRPr="000833FA" w:rsidRDefault="00F0287C" w:rsidP="00716F69">
      <w:pPr>
        <w:pStyle w:val="Heading4"/>
        <w:spacing w:before="0" w:line="276" w:lineRule="auto"/>
        <w:rPr>
          <w:rFonts w:ascii="Arial" w:hAnsi="Arial" w:cs="Arial"/>
          <w:sz w:val="20"/>
          <w:szCs w:val="20"/>
        </w:rPr>
      </w:pPr>
      <w:r w:rsidRPr="000833FA">
        <w:rPr>
          <w:rFonts w:ascii="Arial" w:hAnsi="Arial" w:cs="Arial"/>
          <w:sz w:val="20"/>
          <w:szCs w:val="20"/>
        </w:rPr>
        <w:t>Pre 2014 interpretations</w:t>
      </w:r>
    </w:p>
    <w:p w14:paraId="785756BC" w14:textId="63E7B9BF"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 xml:space="preserve">Prior to 2014 this was not clear.  It was assumed within the </w:t>
      </w:r>
      <w:r w:rsidR="00CD7171" w:rsidRPr="000833FA">
        <w:rPr>
          <w:rFonts w:ascii="Arial" w:hAnsi="Arial" w:cs="Arial"/>
          <w:sz w:val="20"/>
          <w:szCs w:val="20"/>
        </w:rPr>
        <w:t>Australian P</w:t>
      </w:r>
      <w:r w:rsidRPr="000833FA">
        <w:rPr>
          <w:rFonts w:ascii="Arial" w:hAnsi="Arial" w:cs="Arial"/>
          <w:sz w:val="20"/>
          <w:szCs w:val="20"/>
        </w:rPr>
        <w:t xml:space="preserve">ublic </w:t>
      </w:r>
      <w:r w:rsidR="00CD7171" w:rsidRPr="000833FA">
        <w:rPr>
          <w:rFonts w:ascii="Arial" w:hAnsi="Arial" w:cs="Arial"/>
          <w:sz w:val="20"/>
          <w:szCs w:val="20"/>
        </w:rPr>
        <w:t>S</w:t>
      </w:r>
      <w:r w:rsidRPr="000833FA">
        <w:rPr>
          <w:rFonts w:ascii="Arial" w:hAnsi="Arial" w:cs="Arial"/>
          <w:sz w:val="20"/>
          <w:szCs w:val="20"/>
        </w:rPr>
        <w:t>ervice that its Government could provide funds to anybody for any purpose</w:t>
      </w:r>
      <w:r w:rsidR="009A0AF0">
        <w:rPr>
          <w:rFonts w:ascii="Arial" w:hAnsi="Arial" w:cs="Arial"/>
          <w:sz w:val="20"/>
          <w:szCs w:val="20"/>
        </w:rPr>
        <w:t>, for example to school chaplains for their services</w:t>
      </w:r>
      <w:r w:rsidRPr="000833FA">
        <w:rPr>
          <w:rFonts w:ascii="Arial" w:hAnsi="Arial" w:cs="Arial"/>
          <w:sz w:val="20"/>
          <w:szCs w:val="20"/>
        </w:rPr>
        <w:t xml:space="preserve">.  </w:t>
      </w:r>
    </w:p>
    <w:p w14:paraId="49A7604F" w14:textId="77777777" w:rsidR="00F0287C" w:rsidRPr="000833FA" w:rsidRDefault="00F0287C" w:rsidP="00716F69">
      <w:pPr>
        <w:spacing w:after="0" w:line="276" w:lineRule="auto"/>
        <w:rPr>
          <w:rFonts w:ascii="Arial" w:hAnsi="Arial" w:cs="Arial"/>
          <w:sz w:val="20"/>
          <w:szCs w:val="20"/>
        </w:rPr>
      </w:pPr>
    </w:p>
    <w:p w14:paraId="352693D6" w14:textId="3B850A5E" w:rsidR="00F0287C" w:rsidRDefault="00F0287C" w:rsidP="00716F69">
      <w:pPr>
        <w:spacing w:after="0" w:line="276" w:lineRule="auto"/>
        <w:rPr>
          <w:rFonts w:ascii="Arial" w:hAnsi="Arial" w:cs="Arial"/>
          <w:sz w:val="20"/>
          <w:szCs w:val="20"/>
        </w:rPr>
      </w:pPr>
      <w:r w:rsidRPr="000833FA">
        <w:rPr>
          <w:rFonts w:ascii="Arial" w:hAnsi="Arial" w:cs="Arial"/>
          <w:sz w:val="20"/>
          <w:szCs w:val="20"/>
        </w:rPr>
        <w:lastRenderedPageBreak/>
        <w:t>Commonwealth purposes were assumed to be</w:t>
      </w:r>
      <w:r w:rsidR="009A0AF0">
        <w:rPr>
          <w:rFonts w:ascii="Arial" w:hAnsi="Arial" w:cs="Arial"/>
          <w:sz w:val="20"/>
          <w:szCs w:val="20"/>
        </w:rPr>
        <w:t xml:space="preserve"> </w:t>
      </w:r>
      <w:r w:rsidRPr="000833FA">
        <w:rPr>
          <w:rFonts w:ascii="Arial" w:hAnsi="Arial" w:cs="Arial"/>
          <w:sz w:val="20"/>
          <w:szCs w:val="20"/>
        </w:rPr>
        <w:t xml:space="preserve">undefinable and varied with the Government of the day.  Examples of this include local road and government funding by Conservative Governments and funding of projects in cities by Labor Governments.  </w:t>
      </w:r>
    </w:p>
    <w:p w14:paraId="79EB9EDF" w14:textId="77777777" w:rsidR="00693E1F" w:rsidRPr="000833FA" w:rsidRDefault="00693E1F" w:rsidP="00716F69">
      <w:pPr>
        <w:spacing w:after="0" w:line="276" w:lineRule="auto"/>
        <w:rPr>
          <w:rFonts w:ascii="Arial" w:hAnsi="Arial" w:cs="Arial"/>
          <w:sz w:val="20"/>
          <w:szCs w:val="20"/>
        </w:rPr>
      </w:pPr>
    </w:p>
    <w:p w14:paraId="24847692" w14:textId="7CADE54C" w:rsidR="009A0AF0" w:rsidRDefault="00F0287C" w:rsidP="00716F69">
      <w:pPr>
        <w:spacing w:after="0" w:line="276" w:lineRule="auto"/>
        <w:rPr>
          <w:rFonts w:ascii="Arial" w:hAnsi="Arial" w:cs="Arial"/>
          <w:sz w:val="20"/>
          <w:szCs w:val="20"/>
        </w:rPr>
      </w:pPr>
      <w:r w:rsidRPr="000833FA">
        <w:rPr>
          <w:rFonts w:ascii="Arial" w:hAnsi="Arial" w:cs="Arial"/>
          <w:sz w:val="20"/>
          <w:szCs w:val="20"/>
        </w:rPr>
        <w:t>At times a policy overlay proposed Commonwealth purposes to include: matters of national significance; matters addressed in other jurisdictions; major infrastructure or projects costing over a certain amount; support for State Government projects</w:t>
      </w:r>
      <w:r w:rsidR="009A0AF0">
        <w:rPr>
          <w:rFonts w:ascii="Arial" w:hAnsi="Arial" w:cs="Arial"/>
          <w:sz w:val="20"/>
          <w:szCs w:val="20"/>
        </w:rPr>
        <w:t>.</w:t>
      </w:r>
    </w:p>
    <w:p w14:paraId="36428694" w14:textId="77777777" w:rsidR="00AF1E4B" w:rsidRDefault="00AF1E4B" w:rsidP="00716F69">
      <w:pPr>
        <w:spacing w:after="0" w:line="276" w:lineRule="auto"/>
        <w:rPr>
          <w:rFonts w:ascii="Arial" w:hAnsi="Arial" w:cs="Arial"/>
          <w:sz w:val="20"/>
          <w:szCs w:val="20"/>
        </w:rPr>
      </w:pPr>
    </w:p>
    <w:p w14:paraId="06E21E6B" w14:textId="0BAC962C" w:rsidR="00F0287C" w:rsidRPr="000833FA" w:rsidRDefault="009A0AF0" w:rsidP="00716F69">
      <w:pPr>
        <w:spacing w:after="0" w:line="276" w:lineRule="auto"/>
        <w:rPr>
          <w:rFonts w:ascii="Arial" w:hAnsi="Arial" w:cs="Arial"/>
          <w:sz w:val="20"/>
          <w:szCs w:val="20"/>
        </w:rPr>
      </w:pPr>
      <w:r>
        <w:rPr>
          <w:rFonts w:ascii="Arial" w:hAnsi="Arial" w:cs="Arial"/>
          <w:sz w:val="20"/>
          <w:szCs w:val="20"/>
        </w:rPr>
        <w:t>Other suggestions for Commonwealth Executive powers</w:t>
      </w:r>
      <w:r w:rsidR="00F0287C" w:rsidRPr="000833FA">
        <w:rPr>
          <w:rFonts w:ascii="Arial" w:hAnsi="Arial" w:cs="Arial"/>
          <w:sz w:val="20"/>
          <w:szCs w:val="20"/>
        </w:rPr>
        <w:t>; matters agreed by Governments or Ministerial Councils such as the Council of Australian Governments; matters which would be (most) conveniently handled by the Commonwealth</w:t>
      </w:r>
      <w:r w:rsidR="005B4B49" w:rsidRPr="000833FA">
        <w:rPr>
          <w:rFonts w:ascii="Arial" w:hAnsi="Arial" w:cs="Arial"/>
          <w:sz w:val="20"/>
          <w:szCs w:val="20"/>
        </w:rPr>
        <w:t xml:space="preserve"> and its Departments</w:t>
      </w:r>
      <w:r w:rsidR="00F0287C" w:rsidRPr="000833FA">
        <w:rPr>
          <w:rFonts w:ascii="Arial" w:hAnsi="Arial" w:cs="Arial"/>
          <w:sz w:val="20"/>
          <w:szCs w:val="20"/>
        </w:rPr>
        <w:t xml:space="preserve">.  </w:t>
      </w:r>
    </w:p>
    <w:p w14:paraId="2BB5A738" w14:textId="77777777" w:rsidR="00F0287C" w:rsidRPr="000833FA" w:rsidRDefault="00F0287C" w:rsidP="00716F69">
      <w:pPr>
        <w:spacing w:after="0" w:line="276" w:lineRule="auto"/>
        <w:rPr>
          <w:rFonts w:ascii="Arial" w:hAnsi="Arial" w:cs="Arial"/>
          <w:sz w:val="20"/>
          <w:szCs w:val="20"/>
        </w:rPr>
      </w:pPr>
    </w:p>
    <w:p w14:paraId="72DCD998" w14:textId="77777777" w:rsidR="00F0287C" w:rsidRPr="000833FA" w:rsidRDefault="00F0287C" w:rsidP="00716F69">
      <w:pPr>
        <w:pStyle w:val="Heading4"/>
        <w:spacing w:before="0" w:line="276" w:lineRule="auto"/>
        <w:rPr>
          <w:rFonts w:ascii="Arial" w:hAnsi="Arial" w:cs="Arial"/>
          <w:sz w:val="20"/>
          <w:szCs w:val="20"/>
        </w:rPr>
      </w:pPr>
      <w:r w:rsidRPr="000833FA">
        <w:rPr>
          <w:rFonts w:ascii="Arial" w:hAnsi="Arial" w:cs="Arial"/>
          <w:sz w:val="20"/>
          <w:szCs w:val="20"/>
        </w:rPr>
        <w:t>Position post 2014</w:t>
      </w:r>
    </w:p>
    <w:p w14:paraId="4686DF27" w14:textId="55072600" w:rsidR="009A0AF0" w:rsidRDefault="00F0287C" w:rsidP="00716F69">
      <w:pPr>
        <w:spacing w:after="0" w:line="276" w:lineRule="auto"/>
        <w:rPr>
          <w:rFonts w:ascii="Arial" w:hAnsi="Arial" w:cs="Arial"/>
          <w:sz w:val="20"/>
          <w:szCs w:val="20"/>
        </w:rPr>
      </w:pPr>
      <w:r w:rsidRPr="000833FA">
        <w:rPr>
          <w:rFonts w:ascii="Arial" w:hAnsi="Arial" w:cs="Arial"/>
          <w:sz w:val="20"/>
          <w:szCs w:val="20"/>
        </w:rPr>
        <w:t xml:space="preserve">All these suggestions for Commonwealth purposes and funding powers were </w:t>
      </w:r>
      <w:r w:rsidRPr="000833FA">
        <w:rPr>
          <w:rFonts w:ascii="Arial" w:hAnsi="Arial" w:cs="Arial"/>
          <w:i/>
          <w:sz w:val="20"/>
          <w:szCs w:val="20"/>
        </w:rPr>
        <w:t>specifically</w:t>
      </w:r>
      <w:r w:rsidRPr="000833FA">
        <w:rPr>
          <w:rFonts w:ascii="Arial" w:hAnsi="Arial" w:cs="Arial"/>
          <w:sz w:val="20"/>
          <w:szCs w:val="20"/>
        </w:rPr>
        <w:t xml:space="preserve"> rejected by the High Court </w:t>
      </w:r>
      <w:r w:rsidR="009A0AF0">
        <w:rPr>
          <w:rFonts w:ascii="Arial" w:hAnsi="Arial" w:cs="Arial"/>
          <w:sz w:val="20"/>
          <w:szCs w:val="20"/>
        </w:rPr>
        <w:t>by</w:t>
      </w:r>
      <w:r w:rsidRPr="000833FA">
        <w:rPr>
          <w:rFonts w:ascii="Arial" w:hAnsi="Arial" w:cs="Arial"/>
          <w:sz w:val="20"/>
          <w:szCs w:val="20"/>
        </w:rPr>
        <w:t xml:space="preserve"> 2014.</w:t>
      </w:r>
      <w:r w:rsidR="00FD6758">
        <w:rPr>
          <w:rStyle w:val="EndnoteReference"/>
          <w:rFonts w:ascii="Arial" w:hAnsi="Arial" w:cs="Arial"/>
          <w:sz w:val="20"/>
          <w:szCs w:val="20"/>
        </w:rPr>
        <w:endnoteReference w:id="19"/>
      </w:r>
    </w:p>
    <w:p w14:paraId="0A9821BB" w14:textId="77777777" w:rsidR="009A0AF0" w:rsidRDefault="009A0AF0" w:rsidP="00716F69">
      <w:pPr>
        <w:spacing w:after="0" w:line="276" w:lineRule="auto"/>
        <w:rPr>
          <w:rFonts w:ascii="Arial" w:hAnsi="Arial" w:cs="Arial"/>
          <w:sz w:val="20"/>
          <w:szCs w:val="20"/>
        </w:rPr>
      </w:pPr>
    </w:p>
    <w:p w14:paraId="1D949CA6" w14:textId="0021F70B" w:rsidR="00F0287C" w:rsidRDefault="009A0AF0" w:rsidP="00716F69">
      <w:pPr>
        <w:spacing w:after="0" w:line="276" w:lineRule="auto"/>
        <w:rPr>
          <w:rFonts w:ascii="Arial" w:hAnsi="Arial" w:cs="Arial"/>
          <w:sz w:val="20"/>
          <w:szCs w:val="20"/>
        </w:rPr>
      </w:pPr>
      <w:r>
        <w:rPr>
          <w:rFonts w:ascii="Arial" w:hAnsi="Arial" w:cs="Arial"/>
          <w:sz w:val="20"/>
          <w:szCs w:val="20"/>
        </w:rPr>
        <w:t>Further, in 2016, one justice of the court drew explicit attention to the primacy of Parliament over the Executive in relation to some non-funding issues; powers of detention.</w:t>
      </w:r>
      <w:r>
        <w:rPr>
          <w:rStyle w:val="EndnoteReference"/>
          <w:rFonts w:ascii="Arial" w:hAnsi="Arial" w:cs="Arial"/>
          <w:sz w:val="20"/>
          <w:szCs w:val="20"/>
        </w:rPr>
        <w:endnoteReference w:id="20"/>
      </w:r>
      <w:r w:rsidR="00F0287C" w:rsidRPr="000833FA">
        <w:rPr>
          <w:rFonts w:ascii="Arial" w:hAnsi="Arial" w:cs="Arial"/>
          <w:sz w:val="20"/>
          <w:szCs w:val="20"/>
        </w:rPr>
        <w:t xml:space="preserve">  </w:t>
      </w:r>
    </w:p>
    <w:p w14:paraId="320F0AE2" w14:textId="06214830" w:rsidR="00DB42A6" w:rsidRDefault="00DB42A6" w:rsidP="00716F69">
      <w:pPr>
        <w:spacing w:after="0" w:line="276" w:lineRule="auto"/>
        <w:rPr>
          <w:rFonts w:ascii="Arial" w:hAnsi="Arial" w:cs="Arial"/>
          <w:sz w:val="20"/>
          <w:szCs w:val="20"/>
        </w:rPr>
      </w:pPr>
    </w:p>
    <w:p w14:paraId="45DB1142" w14:textId="0031F72F" w:rsidR="00DB42A6" w:rsidRDefault="00DB42A6" w:rsidP="00716F69">
      <w:pPr>
        <w:spacing w:after="0" w:line="276" w:lineRule="auto"/>
        <w:rPr>
          <w:rFonts w:ascii="Arial" w:hAnsi="Arial" w:cs="Arial"/>
          <w:sz w:val="20"/>
          <w:szCs w:val="20"/>
        </w:rPr>
      </w:pPr>
      <w:r>
        <w:rPr>
          <w:rFonts w:ascii="Arial" w:hAnsi="Arial" w:cs="Arial"/>
          <w:sz w:val="20"/>
          <w:szCs w:val="20"/>
        </w:rPr>
        <w:t xml:space="preserve">The review should specifically refer to this, and discuss its implications.  </w:t>
      </w:r>
    </w:p>
    <w:p w14:paraId="4D236F85" w14:textId="637A305C" w:rsidR="00331763" w:rsidRDefault="00331763" w:rsidP="00716F69">
      <w:pPr>
        <w:spacing w:after="0" w:line="276" w:lineRule="auto"/>
        <w:rPr>
          <w:rFonts w:ascii="Arial" w:hAnsi="Arial" w:cs="Arial"/>
          <w:sz w:val="20"/>
          <w:szCs w:val="20"/>
        </w:rPr>
      </w:pPr>
    </w:p>
    <w:p w14:paraId="626C1715" w14:textId="481E2278" w:rsidR="00F0287C" w:rsidRDefault="00DB42A6" w:rsidP="00716F69">
      <w:pPr>
        <w:spacing w:after="0" w:line="276" w:lineRule="auto"/>
        <w:rPr>
          <w:rFonts w:ascii="Arial" w:hAnsi="Arial" w:cs="Arial"/>
          <w:sz w:val="20"/>
          <w:szCs w:val="20"/>
        </w:rPr>
      </w:pPr>
      <w:r>
        <w:rPr>
          <w:rFonts w:ascii="Arial" w:hAnsi="Arial" w:cs="Arial"/>
          <w:sz w:val="20"/>
          <w:szCs w:val="20"/>
        </w:rPr>
        <w:t>It should also note that a</w:t>
      </w:r>
      <w:r w:rsidR="00F0287C" w:rsidRPr="000833FA">
        <w:rPr>
          <w:rFonts w:ascii="Arial" w:hAnsi="Arial" w:cs="Arial"/>
          <w:sz w:val="20"/>
          <w:szCs w:val="20"/>
        </w:rPr>
        <w:t xml:space="preserve">fter five years none of the Court’s reasoning </w:t>
      </w:r>
      <w:r w:rsidR="000452AB" w:rsidRPr="000833FA">
        <w:rPr>
          <w:rFonts w:ascii="Arial" w:hAnsi="Arial" w:cs="Arial"/>
          <w:sz w:val="20"/>
          <w:szCs w:val="20"/>
        </w:rPr>
        <w:t xml:space="preserve">– Constitutional guidance - </w:t>
      </w:r>
      <w:r w:rsidR="00F0287C" w:rsidRPr="000833FA">
        <w:rPr>
          <w:rFonts w:ascii="Arial" w:hAnsi="Arial" w:cs="Arial"/>
          <w:sz w:val="20"/>
          <w:szCs w:val="20"/>
        </w:rPr>
        <w:t>has found its way into statements about transport or infrastructure by the Commonwealth Government, Opposition, Ministerial Councils or supposed expert advisers such as Infrastructure Australia.</w:t>
      </w:r>
    </w:p>
    <w:p w14:paraId="4FBE8BCD" w14:textId="77777777" w:rsidR="009A0AF0" w:rsidRPr="000833FA" w:rsidRDefault="009A0AF0" w:rsidP="00716F69">
      <w:pPr>
        <w:spacing w:after="0" w:line="276" w:lineRule="auto"/>
        <w:rPr>
          <w:rFonts w:ascii="Arial" w:hAnsi="Arial" w:cs="Arial"/>
          <w:sz w:val="20"/>
          <w:szCs w:val="20"/>
        </w:rPr>
      </w:pPr>
    </w:p>
    <w:p w14:paraId="0F929D63" w14:textId="041ECBAB" w:rsidR="00F0287C" w:rsidRPr="000833FA" w:rsidRDefault="00F0287C" w:rsidP="00716F69">
      <w:pPr>
        <w:spacing w:after="0" w:line="276" w:lineRule="auto"/>
        <w:rPr>
          <w:rFonts w:ascii="Arial" w:hAnsi="Arial" w:cs="Arial"/>
          <w:sz w:val="20"/>
          <w:szCs w:val="20"/>
        </w:rPr>
      </w:pPr>
      <w:r w:rsidRPr="000833FA">
        <w:rPr>
          <w:rFonts w:ascii="Arial" w:hAnsi="Arial" w:cs="Arial"/>
          <w:sz w:val="20"/>
          <w:szCs w:val="20"/>
        </w:rPr>
        <w:t>It c</w:t>
      </w:r>
      <w:r w:rsidR="00331763">
        <w:rPr>
          <w:rFonts w:ascii="Arial" w:hAnsi="Arial" w:cs="Arial"/>
          <w:sz w:val="20"/>
          <w:szCs w:val="20"/>
        </w:rPr>
        <w:t>ould</w:t>
      </w:r>
      <w:r w:rsidRPr="000833FA">
        <w:rPr>
          <w:rFonts w:ascii="Arial" w:hAnsi="Arial" w:cs="Arial"/>
          <w:sz w:val="20"/>
          <w:szCs w:val="20"/>
        </w:rPr>
        <w:t xml:space="preserve"> be inferred </w:t>
      </w:r>
      <w:r w:rsidR="009A0AF0">
        <w:rPr>
          <w:rFonts w:ascii="Arial" w:hAnsi="Arial" w:cs="Arial"/>
          <w:sz w:val="20"/>
          <w:szCs w:val="20"/>
        </w:rPr>
        <w:t xml:space="preserve">from this failure </w:t>
      </w:r>
      <w:r w:rsidRPr="000833FA">
        <w:rPr>
          <w:rFonts w:ascii="Arial" w:hAnsi="Arial" w:cs="Arial"/>
          <w:sz w:val="20"/>
          <w:szCs w:val="20"/>
        </w:rPr>
        <w:t xml:space="preserve">that none understand, wish to follow or promulgate Australian rule-of-law precepts.  </w:t>
      </w:r>
    </w:p>
    <w:p w14:paraId="06AC8C73" w14:textId="77777777" w:rsidR="00F0287C" w:rsidRPr="000833FA" w:rsidRDefault="00F0287C" w:rsidP="00716F69">
      <w:pPr>
        <w:spacing w:after="0" w:line="276" w:lineRule="auto"/>
        <w:rPr>
          <w:rFonts w:ascii="Arial" w:hAnsi="Arial" w:cs="Arial"/>
          <w:sz w:val="20"/>
          <w:szCs w:val="20"/>
        </w:rPr>
      </w:pPr>
    </w:p>
    <w:p w14:paraId="5601BAAA" w14:textId="01720CA6" w:rsidR="00331763" w:rsidRDefault="000452AB" w:rsidP="00716F69">
      <w:pPr>
        <w:spacing w:after="0" w:line="276" w:lineRule="auto"/>
        <w:rPr>
          <w:rFonts w:ascii="Arial" w:hAnsi="Arial" w:cs="Arial"/>
          <w:sz w:val="20"/>
          <w:szCs w:val="20"/>
        </w:rPr>
      </w:pPr>
      <w:r w:rsidRPr="000833FA">
        <w:rPr>
          <w:rFonts w:ascii="Arial" w:hAnsi="Arial" w:cs="Arial"/>
          <w:sz w:val="20"/>
          <w:szCs w:val="20"/>
        </w:rPr>
        <w:t>Th</w:t>
      </w:r>
      <w:r w:rsidR="00331763">
        <w:rPr>
          <w:rFonts w:ascii="Arial" w:hAnsi="Arial" w:cs="Arial"/>
          <w:sz w:val="20"/>
          <w:szCs w:val="20"/>
        </w:rPr>
        <w:t xml:space="preserve">at may </w:t>
      </w:r>
      <w:r w:rsidR="00F0287C" w:rsidRPr="000833FA">
        <w:rPr>
          <w:rFonts w:ascii="Arial" w:hAnsi="Arial" w:cs="Arial"/>
          <w:sz w:val="20"/>
          <w:szCs w:val="20"/>
        </w:rPr>
        <w:t xml:space="preserve">perhaps </w:t>
      </w:r>
      <w:r w:rsidR="00331763">
        <w:rPr>
          <w:rFonts w:ascii="Arial" w:hAnsi="Arial" w:cs="Arial"/>
          <w:sz w:val="20"/>
          <w:szCs w:val="20"/>
        </w:rPr>
        <w:t xml:space="preserve">be </w:t>
      </w:r>
      <w:r w:rsidR="00F0287C" w:rsidRPr="000833FA">
        <w:rPr>
          <w:rFonts w:ascii="Arial" w:hAnsi="Arial" w:cs="Arial"/>
          <w:sz w:val="20"/>
          <w:szCs w:val="20"/>
        </w:rPr>
        <w:t>understandable for those seeking election</w:t>
      </w:r>
      <w:r w:rsidRPr="000833FA">
        <w:rPr>
          <w:rFonts w:ascii="Arial" w:hAnsi="Arial" w:cs="Arial"/>
          <w:sz w:val="20"/>
          <w:szCs w:val="20"/>
        </w:rPr>
        <w:t xml:space="preserve">.  </w:t>
      </w:r>
      <w:r w:rsidR="00331763">
        <w:rPr>
          <w:rFonts w:ascii="Arial" w:hAnsi="Arial" w:cs="Arial"/>
          <w:sz w:val="20"/>
          <w:szCs w:val="20"/>
        </w:rPr>
        <w:t xml:space="preserve">However, that does not make it excusable.  It is not understandable </w:t>
      </w:r>
      <w:r w:rsidR="00CC33F5">
        <w:rPr>
          <w:rFonts w:ascii="Arial" w:hAnsi="Arial" w:cs="Arial"/>
          <w:sz w:val="20"/>
          <w:szCs w:val="20"/>
        </w:rPr>
        <w:t>or</w:t>
      </w:r>
      <w:r w:rsidR="00331763">
        <w:rPr>
          <w:rFonts w:ascii="Arial" w:hAnsi="Arial" w:cs="Arial"/>
          <w:sz w:val="20"/>
          <w:szCs w:val="20"/>
        </w:rPr>
        <w:t xml:space="preserve"> excusable for members of the Australian Public Service.  </w:t>
      </w:r>
    </w:p>
    <w:p w14:paraId="32E25912" w14:textId="307FD697" w:rsidR="00FD5B1D" w:rsidRDefault="00FD5B1D" w:rsidP="00716F69">
      <w:pPr>
        <w:spacing w:after="0" w:line="276" w:lineRule="auto"/>
        <w:rPr>
          <w:rFonts w:ascii="Arial" w:hAnsi="Arial" w:cs="Arial"/>
          <w:sz w:val="20"/>
          <w:szCs w:val="20"/>
        </w:rPr>
      </w:pPr>
    </w:p>
    <w:p w14:paraId="413E4F96" w14:textId="622413DB" w:rsidR="00F0287C" w:rsidRPr="000833FA" w:rsidRDefault="00693E1F" w:rsidP="00716F69">
      <w:pPr>
        <w:spacing w:after="0" w:line="276" w:lineRule="auto"/>
        <w:rPr>
          <w:rFonts w:ascii="Arial" w:hAnsi="Arial" w:cs="Arial"/>
          <w:sz w:val="20"/>
          <w:szCs w:val="20"/>
        </w:rPr>
      </w:pPr>
      <w:r>
        <w:rPr>
          <w:rFonts w:ascii="Arial" w:hAnsi="Arial" w:cs="Arial"/>
          <w:sz w:val="20"/>
          <w:szCs w:val="20"/>
        </w:rPr>
        <w:t>This failure</w:t>
      </w:r>
      <w:r w:rsidR="00F0287C" w:rsidRPr="000833FA">
        <w:rPr>
          <w:rFonts w:ascii="Arial" w:hAnsi="Arial" w:cs="Arial"/>
          <w:sz w:val="20"/>
          <w:szCs w:val="20"/>
        </w:rPr>
        <w:t xml:space="preserve"> indicates underlying problems in the Australian Public Service.  The second part of this submission will present some manifestations of this.  These are not limited to the Departmental public service but extend to Authorities.</w:t>
      </w:r>
    </w:p>
    <w:p w14:paraId="0E80066F" w14:textId="63157FBD" w:rsidR="00F0287C" w:rsidRDefault="00F0287C" w:rsidP="00716F69">
      <w:pPr>
        <w:spacing w:after="0" w:line="276" w:lineRule="auto"/>
        <w:rPr>
          <w:rFonts w:ascii="Arial" w:hAnsi="Arial" w:cs="Arial"/>
          <w:sz w:val="20"/>
          <w:szCs w:val="20"/>
        </w:rPr>
      </w:pPr>
    </w:p>
    <w:p w14:paraId="4AD2635B" w14:textId="77777777" w:rsidR="00710DB2" w:rsidRPr="000833FA" w:rsidRDefault="00710DB2" w:rsidP="00716F69">
      <w:pPr>
        <w:spacing w:after="0" w:line="276" w:lineRule="auto"/>
        <w:rPr>
          <w:rFonts w:ascii="Arial" w:hAnsi="Arial" w:cs="Arial"/>
          <w:sz w:val="20"/>
          <w:szCs w:val="20"/>
        </w:rPr>
      </w:pPr>
    </w:p>
    <w:p w14:paraId="7C73A57C" w14:textId="799B691B" w:rsidR="000833FA" w:rsidRPr="00D55C6C" w:rsidRDefault="000833FA" w:rsidP="00716F69">
      <w:pPr>
        <w:pStyle w:val="Heading2"/>
        <w:spacing w:before="0" w:line="276" w:lineRule="auto"/>
        <w:rPr>
          <w:sz w:val="28"/>
          <w:szCs w:val="28"/>
        </w:rPr>
      </w:pPr>
      <w:bookmarkStart w:id="8" w:name="_Toc7446751"/>
      <w:r w:rsidRPr="00D55C6C">
        <w:rPr>
          <w:sz w:val="28"/>
          <w:szCs w:val="28"/>
        </w:rPr>
        <w:t>3.</w:t>
      </w:r>
      <w:r w:rsidRPr="00D55C6C">
        <w:rPr>
          <w:sz w:val="28"/>
          <w:szCs w:val="28"/>
        </w:rPr>
        <w:tab/>
      </w:r>
      <w:r w:rsidRPr="00D55C6C">
        <w:rPr>
          <w:rStyle w:val="Heading2Char"/>
          <w:rFonts w:ascii="Arial" w:hAnsi="Arial" w:cs="Arial"/>
          <w:sz w:val="28"/>
          <w:szCs w:val="28"/>
        </w:rPr>
        <w:t>Governance</w:t>
      </w:r>
      <w:bookmarkEnd w:id="8"/>
    </w:p>
    <w:p w14:paraId="0BB0A99E" w14:textId="77777777" w:rsidR="0057271E" w:rsidRPr="009A0AF0" w:rsidRDefault="0057271E" w:rsidP="00716F69">
      <w:pPr>
        <w:pStyle w:val="Heading3"/>
        <w:spacing w:before="0" w:line="276" w:lineRule="auto"/>
        <w:rPr>
          <w:rFonts w:ascii="Arial" w:hAnsi="Arial" w:cs="Arial"/>
          <w:sz w:val="20"/>
          <w:szCs w:val="20"/>
        </w:rPr>
      </w:pPr>
    </w:p>
    <w:p w14:paraId="7BA07829" w14:textId="7C20A6EC" w:rsidR="000833FA" w:rsidRPr="00D55C6C" w:rsidRDefault="000833FA" w:rsidP="00716F69">
      <w:pPr>
        <w:pStyle w:val="Heading3"/>
        <w:spacing w:before="0" w:line="276" w:lineRule="auto"/>
        <w:rPr>
          <w:rFonts w:ascii="Arial" w:hAnsi="Arial" w:cs="Arial"/>
        </w:rPr>
      </w:pPr>
      <w:bookmarkStart w:id="9" w:name="_Toc7446752"/>
      <w:r w:rsidRPr="00D55C6C">
        <w:rPr>
          <w:rFonts w:ascii="Arial" w:hAnsi="Arial" w:cs="Arial"/>
        </w:rPr>
        <w:t>3.1</w:t>
      </w:r>
      <w:r w:rsidRPr="00D55C6C">
        <w:rPr>
          <w:rFonts w:ascii="Arial" w:hAnsi="Arial" w:cs="Arial"/>
        </w:rPr>
        <w:tab/>
        <w:t>Defined</w:t>
      </w:r>
      <w:bookmarkEnd w:id="9"/>
    </w:p>
    <w:p w14:paraId="562EAF4F" w14:textId="77777777" w:rsidR="000833FA" w:rsidRPr="000833FA" w:rsidRDefault="000833FA" w:rsidP="00716F69">
      <w:pPr>
        <w:spacing w:after="0" w:line="276" w:lineRule="auto"/>
        <w:rPr>
          <w:rFonts w:ascii="Arial" w:hAnsi="Arial" w:cs="Arial"/>
          <w:sz w:val="20"/>
          <w:szCs w:val="20"/>
        </w:rPr>
      </w:pPr>
      <w:r w:rsidRPr="000833FA">
        <w:rPr>
          <w:rFonts w:ascii="Arial" w:hAnsi="Arial" w:cs="Arial"/>
          <w:sz w:val="20"/>
          <w:szCs w:val="20"/>
        </w:rPr>
        <w:t>For the purposes of this submission, governance means the effective exercise of legal control.</w:t>
      </w:r>
      <w:r w:rsidRPr="000833FA">
        <w:rPr>
          <w:rStyle w:val="EndnoteReference"/>
          <w:rFonts w:ascii="Arial" w:hAnsi="Arial" w:cs="Arial"/>
          <w:sz w:val="20"/>
          <w:szCs w:val="20"/>
        </w:rPr>
        <w:endnoteReference w:id="21"/>
      </w:r>
    </w:p>
    <w:p w14:paraId="580851A0" w14:textId="77777777" w:rsidR="000833FA" w:rsidRPr="000833FA" w:rsidRDefault="000833FA" w:rsidP="00716F69">
      <w:pPr>
        <w:spacing w:after="0" w:line="276" w:lineRule="auto"/>
        <w:rPr>
          <w:rFonts w:ascii="Arial" w:hAnsi="Arial" w:cs="Arial"/>
          <w:sz w:val="20"/>
          <w:szCs w:val="20"/>
        </w:rPr>
      </w:pPr>
    </w:p>
    <w:p w14:paraId="158F1CAA" w14:textId="1D1AAECC" w:rsidR="00710DB2" w:rsidRDefault="000833FA" w:rsidP="00716F69">
      <w:pPr>
        <w:spacing w:after="0" w:line="276" w:lineRule="auto"/>
        <w:rPr>
          <w:rFonts w:ascii="Arial" w:hAnsi="Arial" w:cs="Arial"/>
          <w:sz w:val="20"/>
          <w:szCs w:val="20"/>
        </w:rPr>
      </w:pPr>
      <w:r w:rsidRPr="000833FA">
        <w:rPr>
          <w:rFonts w:ascii="Arial" w:hAnsi="Arial" w:cs="Arial"/>
          <w:sz w:val="20"/>
          <w:szCs w:val="20"/>
        </w:rPr>
        <w:t xml:space="preserve">There are voluminous writings about public sector </w:t>
      </w:r>
      <w:r w:rsidR="00CF045F">
        <w:rPr>
          <w:rFonts w:ascii="Arial" w:hAnsi="Arial" w:cs="Arial"/>
          <w:sz w:val="20"/>
          <w:szCs w:val="20"/>
        </w:rPr>
        <w:t xml:space="preserve">external </w:t>
      </w:r>
      <w:r w:rsidRPr="000833FA">
        <w:rPr>
          <w:rFonts w:ascii="Arial" w:hAnsi="Arial" w:cs="Arial"/>
          <w:sz w:val="20"/>
          <w:szCs w:val="20"/>
        </w:rPr>
        <w:t>governance.  These boil down to propose application of a few principles the most important of which is</w:t>
      </w:r>
      <w:r w:rsidR="00710DB2">
        <w:rPr>
          <w:rFonts w:ascii="Arial" w:hAnsi="Arial" w:cs="Arial"/>
          <w:sz w:val="20"/>
          <w:szCs w:val="20"/>
        </w:rPr>
        <w:t>:</w:t>
      </w:r>
      <w:r w:rsidRPr="000833FA">
        <w:rPr>
          <w:rFonts w:ascii="Arial" w:hAnsi="Arial" w:cs="Arial"/>
          <w:sz w:val="20"/>
          <w:szCs w:val="20"/>
        </w:rPr>
        <w:t xml:space="preserve"> avoidance of appearance conflicts of public duty with private interest</w:t>
      </w:r>
      <w:r w:rsidR="00710DB2">
        <w:rPr>
          <w:rFonts w:ascii="Arial" w:hAnsi="Arial" w:cs="Arial"/>
          <w:sz w:val="20"/>
          <w:szCs w:val="20"/>
        </w:rPr>
        <w:t>.</w:t>
      </w:r>
      <w:r w:rsidR="00A01F37">
        <w:rPr>
          <w:rStyle w:val="FootnoteReference"/>
          <w:rFonts w:ascii="Arial" w:hAnsi="Arial" w:cs="Arial"/>
          <w:sz w:val="20"/>
          <w:szCs w:val="20"/>
        </w:rPr>
        <w:footnoteReference w:id="3"/>
      </w:r>
    </w:p>
    <w:p w14:paraId="1F263C61" w14:textId="77777777" w:rsidR="00710DB2" w:rsidRDefault="00710DB2" w:rsidP="00716F69">
      <w:pPr>
        <w:spacing w:after="0" w:line="276" w:lineRule="auto"/>
        <w:rPr>
          <w:rFonts w:ascii="Arial" w:hAnsi="Arial" w:cs="Arial"/>
          <w:sz w:val="20"/>
          <w:szCs w:val="20"/>
        </w:rPr>
      </w:pPr>
    </w:p>
    <w:p w14:paraId="52303E7E" w14:textId="6C4A51DB" w:rsidR="000833FA" w:rsidRPr="000833FA" w:rsidRDefault="00710DB2" w:rsidP="00716F69">
      <w:pPr>
        <w:spacing w:after="0" w:line="276" w:lineRule="auto"/>
        <w:rPr>
          <w:rFonts w:ascii="Arial" w:hAnsi="Arial" w:cs="Arial"/>
          <w:sz w:val="20"/>
          <w:szCs w:val="20"/>
        </w:rPr>
      </w:pPr>
      <w:r>
        <w:rPr>
          <w:rFonts w:ascii="Arial" w:hAnsi="Arial" w:cs="Arial"/>
          <w:sz w:val="20"/>
          <w:szCs w:val="20"/>
        </w:rPr>
        <w:t xml:space="preserve">The basic rule is </w:t>
      </w:r>
      <w:r w:rsidR="000833FA" w:rsidRPr="000833FA">
        <w:rPr>
          <w:rFonts w:ascii="Arial" w:hAnsi="Arial" w:cs="Arial"/>
          <w:sz w:val="20"/>
          <w:szCs w:val="20"/>
        </w:rPr>
        <w:t xml:space="preserve">a person should not be (seen to be) a judge of their own cause.  This entails concepts of honesty, justice and transparency.  </w:t>
      </w:r>
    </w:p>
    <w:p w14:paraId="1FDA39AC" w14:textId="77777777" w:rsidR="000833FA" w:rsidRPr="000833FA" w:rsidRDefault="000833FA" w:rsidP="00716F69">
      <w:pPr>
        <w:spacing w:after="0" w:line="276" w:lineRule="auto"/>
        <w:rPr>
          <w:rFonts w:ascii="Arial" w:hAnsi="Arial" w:cs="Arial"/>
          <w:sz w:val="20"/>
          <w:szCs w:val="20"/>
        </w:rPr>
      </w:pPr>
    </w:p>
    <w:p w14:paraId="09011766" w14:textId="77777777" w:rsidR="0067320F" w:rsidRDefault="000833FA" w:rsidP="00716F69">
      <w:pPr>
        <w:spacing w:after="0" w:line="276" w:lineRule="auto"/>
        <w:rPr>
          <w:rFonts w:ascii="Arial" w:hAnsi="Arial" w:cs="Arial"/>
          <w:sz w:val="20"/>
          <w:szCs w:val="20"/>
        </w:rPr>
      </w:pPr>
      <w:r w:rsidRPr="000833FA">
        <w:rPr>
          <w:rFonts w:ascii="Arial" w:hAnsi="Arial" w:cs="Arial"/>
          <w:sz w:val="20"/>
          <w:szCs w:val="20"/>
        </w:rPr>
        <w:lastRenderedPageBreak/>
        <w:t xml:space="preserve">However, a degree of sophistry has been introduced which distorts the principles and has been used for uncertain ends.  </w:t>
      </w:r>
    </w:p>
    <w:p w14:paraId="25DFDEB1" w14:textId="77777777" w:rsidR="0067320F" w:rsidRDefault="0067320F" w:rsidP="00716F69">
      <w:pPr>
        <w:spacing w:after="0" w:line="276" w:lineRule="auto"/>
        <w:rPr>
          <w:rFonts w:ascii="Arial" w:hAnsi="Arial" w:cs="Arial"/>
          <w:sz w:val="20"/>
          <w:szCs w:val="20"/>
        </w:rPr>
      </w:pPr>
    </w:p>
    <w:p w14:paraId="35337F71" w14:textId="06FAC5AD" w:rsidR="0067320F" w:rsidRDefault="0067320F" w:rsidP="00716F69">
      <w:pPr>
        <w:spacing w:after="0" w:line="276" w:lineRule="auto"/>
        <w:rPr>
          <w:rFonts w:ascii="Arial" w:hAnsi="Arial" w:cs="Arial"/>
          <w:sz w:val="20"/>
          <w:szCs w:val="20"/>
        </w:rPr>
      </w:pPr>
      <w:r>
        <w:rPr>
          <w:rFonts w:ascii="Arial" w:hAnsi="Arial" w:cs="Arial"/>
          <w:sz w:val="20"/>
          <w:szCs w:val="20"/>
        </w:rPr>
        <w:t>The Public Service Act itself shows evidence of sophistry.  Section 3a has the public service serving the Government, Parliament and the public.</w:t>
      </w:r>
      <w:r w:rsidR="00693E1F">
        <w:rPr>
          <w:rFonts w:ascii="Arial" w:hAnsi="Arial" w:cs="Arial"/>
          <w:sz w:val="20"/>
          <w:szCs w:val="20"/>
        </w:rPr>
        <w:t xml:space="preserve">  </w:t>
      </w:r>
      <w:r>
        <w:rPr>
          <w:rFonts w:ascii="Arial" w:hAnsi="Arial" w:cs="Arial"/>
          <w:sz w:val="20"/>
          <w:szCs w:val="20"/>
        </w:rPr>
        <w:t xml:space="preserve">As discussed above this is incorrect for Statutory Authorities as they serve Parliament.  </w:t>
      </w:r>
      <w:r w:rsidR="00693E1F">
        <w:rPr>
          <w:rFonts w:ascii="Arial" w:hAnsi="Arial" w:cs="Arial"/>
          <w:sz w:val="20"/>
          <w:szCs w:val="20"/>
        </w:rPr>
        <w:t>The se</w:t>
      </w:r>
      <w:r w:rsidR="007A4BD7">
        <w:rPr>
          <w:rFonts w:ascii="Arial" w:hAnsi="Arial" w:cs="Arial"/>
          <w:sz w:val="20"/>
          <w:szCs w:val="20"/>
        </w:rPr>
        <w:t>c</w:t>
      </w:r>
      <w:r w:rsidR="00693E1F">
        <w:rPr>
          <w:rFonts w:ascii="Arial" w:hAnsi="Arial" w:cs="Arial"/>
          <w:sz w:val="20"/>
          <w:szCs w:val="20"/>
        </w:rPr>
        <w:t>tion</w:t>
      </w:r>
      <w:r>
        <w:rPr>
          <w:rFonts w:ascii="Arial" w:hAnsi="Arial" w:cs="Arial"/>
          <w:sz w:val="20"/>
          <w:szCs w:val="20"/>
        </w:rPr>
        <w:t xml:space="preserve"> also is countermanded by s</w:t>
      </w:r>
      <w:r w:rsidR="00312D5C">
        <w:rPr>
          <w:rFonts w:ascii="Arial" w:hAnsi="Arial" w:cs="Arial"/>
          <w:sz w:val="20"/>
          <w:szCs w:val="20"/>
        </w:rPr>
        <w:t>.</w:t>
      </w:r>
      <w:r>
        <w:rPr>
          <w:rFonts w:ascii="Arial" w:hAnsi="Arial" w:cs="Arial"/>
          <w:sz w:val="20"/>
          <w:szCs w:val="20"/>
        </w:rPr>
        <w:t>13(5) which requires employees to obey directions from agency heads.</w:t>
      </w:r>
      <w:r>
        <w:rPr>
          <w:rStyle w:val="EndnoteReference"/>
          <w:rFonts w:ascii="Arial" w:hAnsi="Arial" w:cs="Arial"/>
          <w:sz w:val="20"/>
          <w:szCs w:val="20"/>
        </w:rPr>
        <w:endnoteReference w:id="22"/>
      </w:r>
      <w:r>
        <w:rPr>
          <w:rFonts w:ascii="Arial" w:hAnsi="Arial" w:cs="Arial"/>
          <w:sz w:val="20"/>
          <w:szCs w:val="20"/>
        </w:rPr>
        <w:t xml:space="preserve"> </w:t>
      </w:r>
    </w:p>
    <w:p w14:paraId="6CD3D0A2" w14:textId="77777777" w:rsidR="0067320F" w:rsidRDefault="0067320F" w:rsidP="00716F69">
      <w:pPr>
        <w:spacing w:after="0" w:line="276" w:lineRule="auto"/>
        <w:rPr>
          <w:rFonts w:ascii="Arial" w:hAnsi="Arial" w:cs="Arial"/>
          <w:sz w:val="20"/>
          <w:szCs w:val="20"/>
        </w:rPr>
      </w:pPr>
    </w:p>
    <w:p w14:paraId="11E3436B" w14:textId="13ACF230" w:rsidR="000833FA" w:rsidRPr="000833FA" w:rsidRDefault="0067320F" w:rsidP="00716F69">
      <w:pPr>
        <w:spacing w:after="0" w:line="276" w:lineRule="auto"/>
        <w:rPr>
          <w:rFonts w:ascii="Arial" w:hAnsi="Arial" w:cs="Arial"/>
          <w:sz w:val="20"/>
          <w:szCs w:val="20"/>
        </w:rPr>
      </w:pPr>
      <w:r>
        <w:rPr>
          <w:rFonts w:ascii="Arial" w:hAnsi="Arial" w:cs="Arial"/>
          <w:sz w:val="20"/>
          <w:szCs w:val="20"/>
        </w:rPr>
        <w:t xml:space="preserve"> </w:t>
      </w:r>
      <w:r w:rsidR="000833FA" w:rsidRPr="000833FA">
        <w:rPr>
          <w:rFonts w:ascii="Arial" w:hAnsi="Arial" w:cs="Arial"/>
          <w:sz w:val="20"/>
          <w:szCs w:val="20"/>
        </w:rPr>
        <w:t xml:space="preserve">Before considering some </w:t>
      </w:r>
      <w:r w:rsidR="00710DB2">
        <w:rPr>
          <w:rFonts w:ascii="Arial" w:hAnsi="Arial" w:cs="Arial"/>
          <w:sz w:val="20"/>
          <w:szCs w:val="20"/>
        </w:rPr>
        <w:t>specifics</w:t>
      </w:r>
      <w:r w:rsidR="000833FA" w:rsidRPr="000833FA">
        <w:rPr>
          <w:rFonts w:ascii="Arial" w:hAnsi="Arial" w:cs="Arial"/>
          <w:sz w:val="20"/>
          <w:szCs w:val="20"/>
        </w:rPr>
        <w:t>, it is useful to review the corporate model on which a substantial part of the guidelines is based.</w:t>
      </w:r>
      <w:r w:rsidR="003C2338">
        <w:rPr>
          <w:rStyle w:val="EndnoteReference"/>
          <w:rFonts w:ascii="Arial" w:hAnsi="Arial" w:cs="Arial"/>
          <w:sz w:val="20"/>
          <w:szCs w:val="20"/>
        </w:rPr>
        <w:endnoteReference w:id="23"/>
      </w:r>
    </w:p>
    <w:p w14:paraId="569E21BB" w14:textId="77777777" w:rsidR="000833FA" w:rsidRPr="000833FA" w:rsidRDefault="000833FA" w:rsidP="00716F69">
      <w:pPr>
        <w:spacing w:after="0" w:line="276" w:lineRule="auto"/>
        <w:rPr>
          <w:rFonts w:ascii="Arial" w:hAnsi="Arial" w:cs="Arial"/>
          <w:sz w:val="20"/>
          <w:szCs w:val="20"/>
        </w:rPr>
      </w:pPr>
    </w:p>
    <w:p w14:paraId="0B80F62D" w14:textId="77777777" w:rsidR="000833FA" w:rsidRPr="00D55C6C" w:rsidRDefault="000833FA" w:rsidP="00716F69">
      <w:pPr>
        <w:pStyle w:val="Heading3"/>
        <w:spacing w:before="0" w:line="276" w:lineRule="auto"/>
        <w:rPr>
          <w:rFonts w:ascii="Arial" w:hAnsi="Arial" w:cs="Arial"/>
        </w:rPr>
      </w:pPr>
      <w:bookmarkStart w:id="10" w:name="_Toc7446753"/>
      <w:r w:rsidRPr="00D55C6C">
        <w:rPr>
          <w:rFonts w:ascii="Arial" w:hAnsi="Arial" w:cs="Arial"/>
        </w:rPr>
        <w:t>3.2</w:t>
      </w:r>
      <w:r w:rsidRPr="00D55C6C">
        <w:rPr>
          <w:rFonts w:ascii="Arial" w:hAnsi="Arial" w:cs="Arial"/>
        </w:rPr>
        <w:tab/>
        <w:t>The corporate model</w:t>
      </w:r>
      <w:bookmarkEnd w:id="10"/>
    </w:p>
    <w:p w14:paraId="1758005F" w14:textId="2A5DA6EF" w:rsidR="00CF045F" w:rsidRDefault="000833FA" w:rsidP="00CF045F">
      <w:pPr>
        <w:spacing w:after="0" w:line="276" w:lineRule="auto"/>
        <w:rPr>
          <w:rFonts w:ascii="Arial" w:hAnsi="Arial" w:cs="Arial"/>
          <w:sz w:val="20"/>
          <w:szCs w:val="20"/>
        </w:rPr>
      </w:pPr>
      <w:r w:rsidRPr="000833FA">
        <w:rPr>
          <w:rFonts w:ascii="Arial" w:hAnsi="Arial" w:cs="Arial"/>
          <w:sz w:val="20"/>
          <w:szCs w:val="20"/>
        </w:rPr>
        <w:t xml:space="preserve">Writings propose some government organisations </w:t>
      </w:r>
      <w:r w:rsidR="00710DB2">
        <w:rPr>
          <w:rFonts w:ascii="Arial" w:hAnsi="Arial" w:cs="Arial"/>
          <w:sz w:val="20"/>
          <w:szCs w:val="20"/>
        </w:rPr>
        <w:t xml:space="preserve">should </w:t>
      </w:r>
      <w:r w:rsidRPr="000833FA">
        <w:rPr>
          <w:rFonts w:ascii="Arial" w:hAnsi="Arial" w:cs="Arial"/>
          <w:sz w:val="20"/>
          <w:szCs w:val="20"/>
        </w:rPr>
        <w:t xml:space="preserve">mimic private sector corporations, </w:t>
      </w:r>
      <w:r w:rsidR="00710DB2">
        <w:rPr>
          <w:rFonts w:ascii="Arial" w:hAnsi="Arial" w:cs="Arial"/>
          <w:sz w:val="20"/>
          <w:szCs w:val="20"/>
        </w:rPr>
        <w:t>by separating</w:t>
      </w:r>
      <w:r w:rsidRPr="000833FA">
        <w:rPr>
          <w:rFonts w:ascii="Arial" w:hAnsi="Arial" w:cs="Arial"/>
          <w:sz w:val="20"/>
          <w:szCs w:val="20"/>
        </w:rPr>
        <w:t xml:space="preserve"> management of the organisation from ownership.  This is achieved by different powers of shareholders, directors and managers.  The corporation is a new legal person, original reasons for which included ability to marshal more resources</w:t>
      </w:r>
      <w:r w:rsidR="00A01F37">
        <w:rPr>
          <w:rFonts w:ascii="Arial" w:hAnsi="Arial" w:cs="Arial"/>
          <w:sz w:val="20"/>
          <w:szCs w:val="20"/>
        </w:rPr>
        <w:t xml:space="preserve"> potentially from many individual shareholders</w:t>
      </w:r>
      <w:r w:rsidRPr="000833FA">
        <w:rPr>
          <w:rFonts w:ascii="Arial" w:hAnsi="Arial" w:cs="Arial"/>
          <w:sz w:val="20"/>
          <w:szCs w:val="20"/>
        </w:rPr>
        <w:t>.</w:t>
      </w:r>
      <w:r w:rsidR="00CF045F">
        <w:rPr>
          <w:rFonts w:ascii="Arial" w:hAnsi="Arial" w:cs="Arial"/>
          <w:sz w:val="20"/>
          <w:szCs w:val="20"/>
        </w:rPr>
        <w:t xml:space="preserve">  </w:t>
      </w:r>
    </w:p>
    <w:p w14:paraId="41BE155D" w14:textId="77777777" w:rsidR="00CF045F" w:rsidRDefault="00CF045F" w:rsidP="00CF045F">
      <w:pPr>
        <w:spacing w:after="0" w:line="276" w:lineRule="auto"/>
        <w:rPr>
          <w:rFonts w:ascii="Arial" w:hAnsi="Arial" w:cs="Arial"/>
          <w:sz w:val="20"/>
          <w:szCs w:val="20"/>
        </w:rPr>
      </w:pPr>
    </w:p>
    <w:p w14:paraId="596C7034" w14:textId="050D6062" w:rsidR="000833FA" w:rsidRPr="000833FA" w:rsidRDefault="00591CAB" w:rsidP="00716F69">
      <w:pPr>
        <w:spacing w:after="0" w:line="276" w:lineRule="auto"/>
        <w:rPr>
          <w:rFonts w:ascii="Arial" w:hAnsi="Arial" w:cs="Arial"/>
          <w:sz w:val="20"/>
          <w:szCs w:val="20"/>
        </w:rPr>
      </w:pPr>
      <w:r>
        <w:rPr>
          <w:rFonts w:ascii="Arial" w:hAnsi="Arial" w:cs="Arial"/>
          <w:sz w:val="20"/>
          <w:szCs w:val="20"/>
        </w:rPr>
        <w:t>C</w:t>
      </w:r>
      <w:r w:rsidR="00CF045F" w:rsidRPr="000833FA">
        <w:rPr>
          <w:rFonts w:ascii="Arial" w:hAnsi="Arial" w:cs="Arial"/>
          <w:sz w:val="20"/>
          <w:szCs w:val="20"/>
        </w:rPr>
        <w:t xml:space="preserve">orporation management is accountable to directors, the board.  The board is accountable to the owners.  </w:t>
      </w:r>
      <w:r w:rsidR="000833FA" w:rsidRPr="000833FA">
        <w:rPr>
          <w:rFonts w:ascii="Arial" w:hAnsi="Arial" w:cs="Arial"/>
          <w:sz w:val="20"/>
          <w:szCs w:val="20"/>
        </w:rPr>
        <w:t>The essence of the corporat</w:t>
      </w:r>
      <w:r>
        <w:rPr>
          <w:rFonts w:ascii="Arial" w:hAnsi="Arial" w:cs="Arial"/>
          <w:sz w:val="20"/>
          <w:szCs w:val="20"/>
        </w:rPr>
        <w:t>ion</w:t>
      </w:r>
      <w:r w:rsidR="000833FA" w:rsidRPr="000833FA">
        <w:rPr>
          <w:rFonts w:ascii="Arial" w:hAnsi="Arial" w:cs="Arial"/>
          <w:sz w:val="20"/>
          <w:szCs w:val="20"/>
        </w:rPr>
        <w:t xml:space="preserve"> is control via finance.  Performance is assessed by reference to financial reports. To provide owners with confidence, corporations are required to produce relevant statements and have them audited.  </w:t>
      </w:r>
      <w:r w:rsidR="00CF045F">
        <w:rPr>
          <w:rFonts w:ascii="Arial" w:hAnsi="Arial" w:cs="Arial"/>
          <w:sz w:val="20"/>
          <w:szCs w:val="20"/>
        </w:rPr>
        <w:t>G</w:t>
      </w:r>
      <w:r w:rsidR="000833FA" w:rsidRPr="000833FA">
        <w:rPr>
          <w:rFonts w:ascii="Arial" w:hAnsi="Arial" w:cs="Arial"/>
          <w:sz w:val="20"/>
          <w:szCs w:val="20"/>
        </w:rPr>
        <w:t>reater</w:t>
      </w:r>
      <w:r w:rsidR="00CF045F">
        <w:rPr>
          <w:rFonts w:ascii="Arial" w:hAnsi="Arial" w:cs="Arial"/>
          <w:sz w:val="20"/>
          <w:szCs w:val="20"/>
        </w:rPr>
        <w:t xml:space="preserve"> managerial</w:t>
      </w:r>
      <w:r w:rsidR="000833FA" w:rsidRPr="000833FA">
        <w:rPr>
          <w:rFonts w:ascii="Arial" w:hAnsi="Arial" w:cs="Arial"/>
          <w:sz w:val="20"/>
          <w:szCs w:val="20"/>
        </w:rPr>
        <w:t xml:space="preserve"> independence</w:t>
      </w:r>
      <w:r w:rsidR="00CF045F">
        <w:rPr>
          <w:rFonts w:ascii="Arial" w:hAnsi="Arial" w:cs="Arial"/>
          <w:sz w:val="20"/>
          <w:szCs w:val="20"/>
        </w:rPr>
        <w:t xml:space="preserve"> is balanced by limited liabilities of owners and a requirement for higher transparency to the outside world</w:t>
      </w:r>
      <w:r w:rsidR="000833FA" w:rsidRPr="000833FA">
        <w:rPr>
          <w:rFonts w:ascii="Arial" w:hAnsi="Arial" w:cs="Arial"/>
          <w:sz w:val="20"/>
          <w:szCs w:val="20"/>
        </w:rPr>
        <w:t xml:space="preserve">.  </w:t>
      </w:r>
    </w:p>
    <w:p w14:paraId="30196870" w14:textId="77777777" w:rsidR="000833FA" w:rsidRPr="000833FA" w:rsidRDefault="000833FA" w:rsidP="00716F69">
      <w:pPr>
        <w:spacing w:after="0" w:line="276" w:lineRule="auto"/>
        <w:rPr>
          <w:rFonts w:ascii="Arial" w:hAnsi="Arial" w:cs="Arial"/>
          <w:sz w:val="20"/>
          <w:szCs w:val="20"/>
        </w:rPr>
      </w:pPr>
    </w:p>
    <w:p w14:paraId="59C85997" w14:textId="47DDB002" w:rsidR="000833FA" w:rsidRPr="000833FA" w:rsidRDefault="00591CAB" w:rsidP="00716F69">
      <w:pPr>
        <w:spacing w:after="0" w:line="276" w:lineRule="auto"/>
        <w:rPr>
          <w:rFonts w:ascii="Arial" w:hAnsi="Arial" w:cs="Arial"/>
          <w:sz w:val="20"/>
          <w:szCs w:val="20"/>
        </w:rPr>
      </w:pPr>
      <w:r>
        <w:rPr>
          <w:rFonts w:ascii="Arial" w:hAnsi="Arial" w:cs="Arial"/>
          <w:sz w:val="20"/>
          <w:szCs w:val="20"/>
        </w:rPr>
        <w:t>It is assumed</w:t>
      </w:r>
      <w:r w:rsidR="000833FA" w:rsidRPr="000833FA">
        <w:rPr>
          <w:rFonts w:ascii="Arial" w:hAnsi="Arial" w:cs="Arial"/>
          <w:sz w:val="20"/>
          <w:szCs w:val="20"/>
        </w:rPr>
        <w:t xml:space="preserve"> organisation</w:t>
      </w:r>
      <w:r w:rsidR="00C43135">
        <w:rPr>
          <w:rFonts w:ascii="Arial" w:hAnsi="Arial" w:cs="Arial"/>
          <w:sz w:val="20"/>
          <w:szCs w:val="20"/>
        </w:rPr>
        <w:t>s</w:t>
      </w:r>
      <w:r w:rsidR="000833FA" w:rsidRPr="000833FA">
        <w:rPr>
          <w:rFonts w:ascii="Arial" w:hAnsi="Arial" w:cs="Arial"/>
          <w:sz w:val="20"/>
          <w:szCs w:val="20"/>
        </w:rPr>
        <w:t xml:space="preserve"> and individuals respond primarily to financial incentives.  Among other things this implies the organisation only undertakes activities it expects to be profitable</w:t>
      </w:r>
      <w:r w:rsidR="00A01F37">
        <w:rPr>
          <w:rFonts w:ascii="Arial" w:hAnsi="Arial" w:cs="Arial"/>
          <w:sz w:val="20"/>
          <w:szCs w:val="20"/>
        </w:rPr>
        <w:t xml:space="preserve">. </w:t>
      </w:r>
    </w:p>
    <w:p w14:paraId="7621EBF1" w14:textId="77777777" w:rsidR="000833FA" w:rsidRPr="000833FA" w:rsidRDefault="000833FA" w:rsidP="00716F69">
      <w:pPr>
        <w:spacing w:after="0" w:line="276" w:lineRule="auto"/>
        <w:rPr>
          <w:rFonts w:ascii="Arial" w:hAnsi="Arial" w:cs="Arial"/>
          <w:sz w:val="20"/>
          <w:szCs w:val="20"/>
        </w:rPr>
      </w:pPr>
    </w:p>
    <w:p w14:paraId="2D7A6706" w14:textId="73F2AD33" w:rsidR="00C43135" w:rsidRDefault="000833FA" w:rsidP="00716F69">
      <w:pPr>
        <w:spacing w:after="0" w:line="276" w:lineRule="auto"/>
        <w:rPr>
          <w:rFonts w:ascii="Arial" w:hAnsi="Arial" w:cs="Arial"/>
          <w:sz w:val="20"/>
          <w:szCs w:val="20"/>
        </w:rPr>
      </w:pPr>
      <w:r w:rsidRPr="000833FA">
        <w:rPr>
          <w:rFonts w:ascii="Arial" w:hAnsi="Arial" w:cs="Arial"/>
          <w:sz w:val="20"/>
          <w:szCs w:val="20"/>
        </w:rPr>
        <w:t xml:space="preserve">The direct analogy in the public sector is the government trading enterprise.  Those enterprises </w:t>
      </w:r>
      <w:r w:rsidR="00A01F37">
        <w:rPr>
          <w:rFonts w:ascii="Arial" w:hAnsi="Arial" w:cs="Arial"/>
          <w:sz w:val="20"/>
          <w:szCs w:val="20"/>
        </w:rPr>
        <w:t xml:space="preserve">do not make public decisions.  They </w:t>
      </w:r>
      <w:r w:rsidRPr="000833FA">
        <w:rPr>
          <w:rFonts w:ascii="Arial" w:hAnsi="Arial" w:cs="Arial"/>
          <w:sz w:val="20"/>
          <w:szCs w:val="20"/>
        </w:rPr>
        <w:t xml:space="preserve">can be asked to undertake unprofitable </w:t>
      </w:r>
      <w:r w:rsidR="00500FF7" w:rsidRPr="000833FA">
        <w:rPr>
          <w:rFonts w:ascii="Arial" w:hAnsi="Arial" w:cs="Arial"/>
          <w:sz w:val="20"/>
          <w:szCs w:val="20"/>
        </w:rPr>
        <w:t>activities;</w:t>
      </w:r>
      <w:r w:rsidRPr="000833FA">
        <w:rPr>
          <w:rFonts w:ascii="Arial" w:hAnsi="Arial" w:cs="Arial"/>
          <w:sz w:val="20"/>
          <w:szCs w:val="20"/>
        </w:rPr>
        <w:t xml:space="preserve"> </w:t>
      </w:r>
      <w:r w:rsidR="00500FF7" w:rsidRPr="000833FA">
        <w:rPr>
          <w:rFonts w:ascii="Arial" w:hAnsi="Arial" w:cs="Arial"/>
          <w:sz w:val="20"/>
          <w:szCs w:val="20"/>
        </w:rPr>
        <w:t>however,</w:t>
      </w:r>
      <w:r w:rsidRPr="000833FA">
        <w:rPr>
          <w:rFonts w:ascii="Arial" w:hAnsi="Arial" w:cs="Arial"/>
          <w:sz w:val="20"/>
          <w:szCs w:val="20"/>
        </w:rPr>
        <w:t xml:space="preserve"> this should be recognised in the accounts to enable ‘proper’ assessment of management.  A corollary is that such requests need to be public.</w:t>
      </w:r>
      <w:r w:rsidR="00A01F37">
        <w:rPr>
          <w:rStyle w:val="EndnoteReference"/>
          <w:rFonts w:ascii="Arial" w:hAnsi="Arial" w:cs="Arial"/>
          <w:sz w:val="20"/>
          <w:szCs w:val="20"/>
        </w:rPr>
        <w:endnoteReference w:id="24"/>
      </w:r>
      <w:r w:rsidRPr="000833FA">
        <w:rPr>
          <w:rFonts w:ascii="Arial" w:hAnsi="Arial" w:cs="Arial"/>
          <w:sz w:val="20"/>
          <w:szCs w:val="20"/>
        </w:rPr>
        <w:t xml:space="preserve">  </w:t>
      </w:r>
    </w:p>
    <w:p w14:paraId="3FEB7D21" w14:textId="482C41B7" w:rsidR="00A01F37" w:rsidRDefault="00A01F37" w:rsidP="00716F69">
      <w:pPr>
        <w:spacing w:after="0" w:line="276" w:lineRule="auto"/>
        <w:rPr>
          <w:rFonts w:ascii="Arial" w:hAnsi="Arial" w:cs="Arial"/>
          <w:sz w:val="20"/>
          <w:szCs w:val="20"/>
        </w:rPr>
      </w:pPr>
    </w:p>
    <w:p w14:paraId="4905B085" w14:textId="2EBEAAF0" w:rsidR="00A01F37" w:rsidRPr="000833FA" w:rsidRDefault="00A01F37" w:rsidP="00A01F37">
      <w:pPr>
        <w:spacing w:after="0" w:line="276" w:lineRule="auto"/>
        <w:rPr>
          <w:rFonts w:ascii="Arial" w:hAnsi="Arial" w:cs="Arial"/>
          <w:sz w:val="20"/>
          <w:szCs w:val="20"/>
        </w:rPr>
      </w:pPr>
      <w:r>
        <w:rPr>
          <w:rFonts w:ascii="Arial" w:hAnsi="Arial" w:cs="Arial"/>
          <w:sz w:val="20"/>
          <w:szCs w:val="20"/>
        </w:rPr>
        <w:t>Government trading enterprises are typically p</w:t>
      </w:r>
      <w:r w:rsidRPr="000833FA">
        <w:rPr>
          <w:rFonts w:ascii="Arial" w:hAnsi="Arial" w:cs="Arial"/>
          <w:sz w:val="20"/>
          <w:szCs w:val="20"/>
        </w:rPr>
        <w:t xml:space="preserve">ublic sector corporations </w:t>
      </w:r>
      <w:r w:rsidR="00591CAB">
        <w:rPr>
          <w:rFonts w:ascii="Arial" w:hAnsi="Arial" w:cs="Arial"/>
          <w:sz w:val="20"/>
          <w:szCs w:val="20"/>
        </w:rPr>
        <w:t xml:space="preserve">or companies </w:t>
      </w:r>
      <w:r w:rsidRPr="000833FA">
        <w:rPr>
          <w:rFonts w:ascii="Arial" w:hAnsi="Arial" w:cs="Arial"/>
          <w:sz w:val="20"/>
          <w:szCs w:val="20"/>
        </w:rPr>
        <w:t xml:space="preserve">established by legislation and owned by Parliament.  </w:t>
      </w:r>
      <w:r>
        <w:rPr>
          <w:rFonts w:ascii="Arial" w:hAnsi="Arial" w:cs="Arial"/>
          <w:sz w:val="20"/>
          <w:szCs w:val="20"/>
        </w:rPr>
        <w:t>Usually</w:t>
      </w:r>
      <w:r w:rsidRPr="000833FA">
        <w:rPr>
          <w:rFonts w:ascii="Arial" w:hAnsi="Arial" w:cs="Arial"/>
          <w:sz w:val="20"/>
          <w:szCs w:val="20"/>
        </w:rPr>
        <w:t xml:space="preserve"> Ministers a</w:t>
      </w:r>
      <w:r w:rsidR="00312D5C">
        <w:rPr>
          <w:rFonts w:ascii="Arial" w:hAnsi="Arial" w:cs="Arial"/>
          <w:sz w:val="20"/>
          <w:szCs w:val="20"/>
        </w:rPr>
        <w:t>re</w:t>
      </w:r>
      <w:r w:rsidRPr="000833FA">
        <w:rPr>
          <w:rFonts w:ascii="Arial" w:hAnsi="Arial" w:cs="Arial"/>
          <w:sz w:val="20"/>
          <w:szCs w:val="20"/>
        </w:rPr>
        <w:t xml:space="preserve"> nominal owners.  </w:t>
      </w:r>
      <w:r w:rsidR="00591CAB" w:rsidRPr="000833FA">
        <w:rPr>
          <w:rFonts w:ascii="Arial" w:hAnsi="Arial" w:cs="Arial"/>
          <w:sz w:val="20"/>
          <w:szCs w:val="20"/>
        </w:rPr>
        <w:t xml:space="preserve">To be formally </w:t>
      </w:r>
      <w:r w:rsidR="00591CAB">
        <w:rPr>
          <w:rFonts w:ascii="Arial" w:hAnsi="Arial" w:cs="Arial"/>
          <w:sz w:val="20"/>
          <w:szCs w:val="20"/>
        </w:rPr>
        <w:t>‘</w:t>
      </w:r>
      <w:r w:rsidR="00591CAB" w:rsidRPr="000833FA">
        <w:rPr>
          <w:rFonts w:ascii="Arial" w:hAnsi="Arial" w:cs="Arial"/>
          <w:sz w:val="20"/>
          <w:szCs w:val="20"/>
        </w:rPr>
        <w:t>independent</w:t>
      </w:r>
      <w:r w:rsidR="00591CAB">
        <w:rPr>
          <w:rFonts w:ascii="Arial" w:hAnsi="Arial" w:cs="Arial"/>
          <w:sz w:val="20"/>
          <w:szCs w:val="20"/>
        </w:rPr>
        <w:t>’</w:t>
      </w:r>
      <w:r w:rsidR="00591CAB" w:rsidRPr="000833FA">
        <w:rPr>
          <w:rFonts w:ascii="Arial" w:hAnsi="Arial" w:cs="Arial"/>
          <w:sz w:val="20"/>
          <w:szCs w:val="20"/>
        </w:rPr>
        <w:t xml:space="preserve"> a board of directors is required.  The board appoints management, usually a chief executive.  </w:t>
      </w:r>
      <w:r w:rsidRPr="000833FA">
        <w:rPr>
          <w:rFonts w:ascii="Arial" w:hAnsi="Arial" w:cs="Arial"/>
          <w:sz w:val="20"/>
          <w:szCs w:val="20"/>
        </w:rPr>
        <w:t>Extensive guidelines have been drafted by central Departments.  A primary interest is to reduce financial exposure of government by creation of an independent organisation.</w:t>
      </w:r>
      <w:r>
        <w:rPr>
          <w:rStyle w:val="EndnoteReference"/>
          <w:rFonts w:ascii="Arial" w:hAnsi="Arial" w:cs="Arial"/>
          <w:sz w:val="20"/>
          <w:szCs w:val="20"/>
        </w:rPr>
        <w:endnoteReference w:id="25"/>
      </w:r>
    </w:p>
    <w:p w14:paraId="7A51C69D" w14:textId="77777777" w:rsidR="00A01F37" w:rsidRPr="000833FA" w:rsidRDefault="00A01F37" w:rsidP="00A01F37">
      <w:pPr>
        <w:spacing w:after="0" w:line="276" w:lineRule="auto"/>
        <w:rPr>
          <w:rFonts w:ascii="Arial" w:hAnsi="Arial" w:cs="Arial"/>
          <w:sz w:val="20"/>
          <w:szCs w:val="20"/>
        </w:rPr>
      </w:pPr>
    </w:p>
    <w:p w14:paraId="0E656095" w14:textId="4BCF0A6D" w:rsidR="000833FA" w:rsidRPr="000833FA" w:rsidRDefault="000833FA" w:rsidP="00716F69">
      <w:pPr>
        <w:spacing w:after="0" w:line="276" w:lineRule="auto"/>
        <w:rPr>
          <w:rFonts w:ascii="Arial" w:hAnsi="Arial" w:cs="Arial"/>
          <w:sz w:val="20"/>
          <w:szCs w:val="20"/>
        </w:rPr>
      </w:pPr>
      <w:r w:rsidRPr="000833FA">
        <w:rPr>
          <w:rFonts w:ascii="Arial" w:hAnsi="Arial" w:cs="Arial"/>
          <w:sz w:val="20"/>
          <w:szCs w:val="20"/>
        </w:rPr>
        <w:t>There is a tension involved in public sector ownership of such enterprises with issues extensively considered by, for example, the Productivity Commission.</w:t>
      </w:r>
      <w:r w:rsidRPr="000833FA">
        <w:rPr>
          <w:rStyle w:val="EndnoteReference"/>
          <w:rFonts w:ascii="Arial" w:hAnsi="Arial" w:cs="Arial"/>
          <w:sz w:val="20"/>
          <w:szCs w:val="20"/>
        </w:rPr>
        <w:endnoteReference w:id="26"/>
      </w:r>
    </w:p>
    <w:p w14:paraId="6236FA7C" w14:textId="77777777" w:rsidR="000833FA" w:rsidRPr="000833FA" w:rsidRDefault="000833FA" w:rsidP="00716F69">
      <w:pPr>
        <w:spacing w:after="0" w:line="276" w:lineRule="auto"/>
        <w:rPr>
          <w:rFonts w:ascii="Arial" w:hAnsi="Arial" w:cs="Arial"/>
          <w:sz w:val="20"/>
          <w:szCs w:val="20"/>
        </w:rPr>
      </w:pPr>
    </w:p>
    <w:p w14:paraId="72345663" w14:textId="77777777" w:rsidR="000833FA" w:rsidRPr="00D55C6C" w:rsidRDefault="000833FA" w:rsidP="00716F69">
      <w:pPr>
        <w:pStyle w:val="Heading3"/>
        <w:spacing w:before="0" w:line="276" w:lineRule="auto"/>
        <w:rPr>
          <w:rFonts w:ascii="Arial" w:hAnsi="Arial" w:cs="Arial"/>
        </w:rPr>
      </w:pPr>
      <w:bookmarkStart w:id="11" w:name="_Toc7446754"/>
      <w:r w:rsidRPr="00D55C6C">
        <w:rPr>
          <w:rFonts w:ascii="Arial" w:hAnsi="Arial" w:cs="Arial"/>
        </w:rPr>
        <w:t>3.3</w:t>
      </w:r>
      <w:r w:rsidRPr="00D55C6C">
        <w:rPr>
          <w:rFonts w:ascii="Arial" w:hAnsi="Arial" w:cs="Arial"/>
        </w:rPr>
        <w:tab/>
        <w:t>Confusion about independence</w:t>
      </w:r>
      <w:bookmarkEnd w:id="11"/>
    </w:p>
    <w:p w14:paraId="42709E29" w14:textId="4CF1D526" w:rsidR="008812F3" w:rsidRDefault="000833FA" w:rsidP="00716F69">
      <w:pPr>
        <w:spacing w:after="0" w:line="276" w:lineRule="auto"/>
        <w:rPr>
          <w:rFonts w:ascii="Arial" w:hAnsi="Arial" w:cs="Arial"/>
          <w:sz w:val="20"/>
          <w:szCs w:val="20"/>
        </w:rPr>
      </w:pPr>
      <w:r w:rsidRPr="000833FA">
        <w:rPr>
          <w:rFonts w:ascii="Arial" w:hAnsi="Arial" w:cs="Arial"/>
          <w:sz w:val="20"/>
          <w:szCs w:val="20"/>
        </w:rPr>
        <w:t xml:space="preserve">In the transport and infrastructure field there are </w:t>
      </w:r>
      <w:r w:rsidR="00591CAB">
        <w:rPr>
          <w:rFonts w:ascii="Arial" w:hAnsi="Arial" w:cs="Arial"/>
          <w:sz w:val="20"/>
          <w:szCs w:val="20"/>
        </w:rPr>
        <w:t>claims</w:t>
      </w:r>
      <w:r w:rsidRPr="000833FA">
        <w:rPr>
          <w:rFonts w:ascii="Arial" w:hAnsi="Arial" w:cs="Arial"/>
          <w:sz w:val="20"/>
          <w:szCs w:val="20"/>
        </w:rPr>
        <w:t xml:space="preserve"> about </w:t>
      </w:r>
      <w:r w:rsidR="00591CAB">
        <w:rPr>
          <w:rFonts w:ascii="Arial" w:hAnsi="Arial" w:cs="Arial"/>
          <w:sz w:val="20"/>
          <w:szCs w:val="20"/>
        </w:rPr>
        <w:t xml:space="preserve">the independence of public sector </w:t>
      </w:r>
      <w:r w:rsidR="00A01F37">
        <w:rPr>
          <w:rFonts w:ascii="Arial" w:hAnsi="Arial" w:cs="Arial"/>
          <w:sz w:val="20"/>
          <w:szCs w:val="20"/>
        </w:rPr>
        <w:t xml:space="preserve">organisations </w:t>
      </w:r>
      <w:r w:rsidR="00591CAB">
        <w:rPr>
          <w:rFonts w:ascii="Arial" w:hAnsi="Arial" w:cs="Arial"/>
          <w:sz w:val="20"/>
          <w:szCs w:val="20"/>
        </w:rPr>
        <w:t>and</w:t>
      </w:r>
      <w:r w:rsidRPr="000833FA">
        <w:rPr>
          <w:rFonts w:ascii="Arial" w:hAnsi="Arial" w:cs="Arial"/>
          <w:sz w:val="20"/>
          <w:szCs w:val="20"/>
        </w:rPr>
        <w:t xml:space="preserve"> </w:t>
      </w:r>
      <w:r w:rsidR="00591CAB">
        <w:rPr>
          <w:rFonts w:ascii="Arial" w:hAnsi="Arial" w:cs="Arial"/>
          <w:sz w:val="20"/>
          <w:szCs w:val="20"/>
        </w:rPr>
        <w:t>advice</w:t>
      </w:r>
      <w:r w:rsidRPr="000833FA">
        <w:rPr>
          <w:rFonts w:ascii="Arial" w:hAnsi="Arial" w:cs="Arial"/>
          <w:sz w:val="20"/>
          <w:szCs w:val="20"/>
        </w:rPr>
        <w:t xml:space="preserve">. However, </w:t>
      </w:r>
      <w:r w:rsidR="008812F3">
        <w:rPr>
          <w:rFonts w:ascii="Arial" w:hAnsi="Arial" w:cs="Arial"/>
          <w:sz w:val="20"/>
          <w:szCs w:val="20"/>
        </w:rPr>
        <w:t>most</w:t>
      </w:r>
      <w:r w:rsidRPr="000833FA">
        <w:rPr>
          <w:rFonts w:ascii="Arial" w:hAnsi="Arial" w:cs="Arial"/>
          <w:sz w:val="20"/>
          <w:szCs w:val="20"/>
        </w:rPr>
        <w:t xml:space="preserve"> show a mistaken understanding of the purpose of independence which is to reduce potential conflicts of private interest and public duty</w:t>
      </w:r>
      <w:r w:rsidR="008812F3">
        <w:rPr>
          <w:rFonts w:ascii="Arial" w:hAnsi="Arial" w:cs="Arial"/>
          <w:sz w:val="20"/>
          <w:szCs w:val="20"/>
        </w:rPr>
        <w:t xml:space="preserve"> rather than to marshal capital from many individual shareholders</w:t>
      </w:r>
      <w:r w:rsidRPr="000833FA">
        <w:rPr>
          <w:rFonts w:ascii="Arial" w:hAnsi="Arial" w:cs="Arial"/>
          <w:sz w:val="20"/>
          <w:szCs w:val="20"/>
        </w:rPr>
        <w:t>.</w:t>
      </w:r>
      <w:r w:rsidR="00591CAB">
        <w:rPr>
          <w:rStyle w:val="EndnoteReference"/>
          <w:rFonts w:ascii="Arial" w:hAnsi="Arial" w:cs="Arial"/>
          <w:sz w:val="20"/>
          <w:szCs w:val="20"/>
        </w:rPr>
        <w:endnoteReference w:id="27"/>
      </w:r>
      <w:r w:rsidRPr="000833FA">
        <w:rPr>
          <w:rFonts w:ascii="Arial" w:hAnsi="Arial" w:cs="Arial"/>
          <w:sz w:val="20"/>
          <w:szCs w:val="20"/>
        </w:rPr>
        <w:t xml:space="preserve">  </w:t>
      </w:r>
    </w:p>
    <w:p w14:paraId="73EC50EE" w14:textId="77777777" w:rsidR="008812F3" w:rsidRDefault="008812F3" w:rsidP="00716F69">
      <w:pPr>
        <w:spacing w:after="0" w:line="276" w:lineRule="auto"/>
        <w:rPr>
          <w:rFonts w:ascii="Arial" w:hAnsi="Arial" w:cs="Arial"/>
          <w:sz w:val="20"/>
          <w:szCs w:val="20"/>
        </w:rPr>
      </w:pPr>
    </w:p>
    <w:p w14:paraId="2ECC7B52" w14:textId="69FDFACC" w:rsidR="000833FA" w:rsidRPr="000833FA" w:rsidRDefault="000833FA" w:rsidP="00716F69">
      <w:pPr>
        <w:spacing w:after="0" w:line="276" w:lineRule="auto"/>
        <w:rPr>
          <w:rFonts w:ascii="Arial" w:hAnsi="Arial" w:cs="Arial"/>
          <w:sz w:val="20"/>
          <w:szCs w:val="20"/>
        </w:rPr>
      </w:pPr>
      <w:r w:rsidRPr="000833FA">
        <w:rPr>
          <w:rFonts w:ascii="Arial" w:hAnsi="Arial" w:cs="Arial"/>
          <w:sz w:val="20"/>
          <w:szCs w:val="20"/>
        </w:rPr>
        <w:t>The relevant question is: independent from whom</w:t>
      </w:r>
      <w:r w:rsidR="00693E1F">
        <w:rPr>
          <w:rFonts w:ascii="Arial" w:hAnsi="Arial" w:cs="Arial"/>
          <w:sz w:val="20"/>
          <w:szCs w:val="20"/>
        </w:rPr>
        <w:t>?</w:t>
      </w:r>
      <w:r w:rsidRPr="000833FA">
        <w:rPr>
          <w:rFonts w:ascii="Arial" w:hAnsi="Arial" w:cs="Arial"/>
          <w:sz w:val="20"/>
          <w:szCs w:val="20"/>
        </w:rPr>
        <w:t xml:space="preserve">  The answer should be: those who stand to make a private benefit </w:t>
      </w:r>
      <w:r w:rsidR="00591CAB">
        <w:rPr>
          <w:rFonts w:ascii="Arial" w:hAnsi="Arial" w:cs="Arial"/>
          <w:sz w:val="20"/>
          <w:szCs w:val="20"/>
        </w:rPr>
        <w:t>from the public duties</w:t>
      </w:r>
      <w:r w:rsidRPr="000833FA">
        <w:rPr>
          <w:rFonts w:ascii="Arial" w:hAnsi="Arial" w:cs="Arial"/>
          <w:sz w:val="20"/>
          <w:szCs w:val="20"/>
        </w:rPr>
        <w:t xml:space="preserve"> of the organisation.</w:t>
      </w:r>
      <w:r w:rsidR="008812F3">
        <w:rPr>
          <w:rFonts w:ascii="Arial" w:hAnsi="Arial" w:cs="Arial"/>
          <w:sz w:val="20"/>
          <w:szCs w:val="20"/>
        </w:rPr>
        <w:t xml:space="preserve">  </w:t>
      </w:r>
    </w:p>
    <w:p w14:paraId="75A3B4E1" w14:textId="77777777" w:rsidR="000833FA" w:rsidRPr="000833FA" w:rsidRDefault="000833FA" w:rsidP="00716F69">
      <w:pPr>
        <w:spacing w:after="0" w:line="276" w:lineRule="auto"/>
        <w:rPr>
          <w:rFonts w:ascii="Arial" w:hAnsi="Arial" w:cs="Arial"/>
          <w:sz w:val="20"/>
          <w:szCs w:val="20"/>
        </w:rPr>
      </w:pPr>
    </w:p>
    <w:p w14:paraId="2D4CF402" w14:textId="77777777" w:rsidR="00693E1F" w:rsidRDefault="000833FA" w:rsidP="00716F69">
      <w:pPr>
        <w:spacing w:after="0" w:line="276" w:lineRule="auto"/>
        <w:rPr>
          <w:rFonts w:ascii="Arial" w:hAnsi="Arial" w:cs="Arial"/>
          <w:sz w:val="20"/>
          <w:szCs w:val="20"/>
        </w:rPr>
      </w:pPr>
      <w:r w:rsidRPr="000833FA">
        <w:rPr>
          <w:rFonts w:ascii="Arial" w:hAnsi="Arial" w:cs="Arial"/>
          <w:sz w:val="20"/>
          <w:szCs w:val="20"/>
        </w:rPr>
        <w:t xml:space="preserve">The assumption of financial motivation </w:t>
      </w:r>
      <w:r w:rsidR="008812F3">
        <w:rPr>
          <w:rFonts w:ascii="Arial" w:hAnsi="Arial" w:cs="Arial"/>
          <w:sz w:val="20"/>
          <w:szCs w:val="20"/>
        </w:rPr>
        <w:t>implies</w:t>
      </w:r>
      <w:r w:rsidRPr="000833FA">
        <w:rPr>
          <w:rFonts w:ascii="Arial" w:hAnsi="Arial" w:cs="Arial"/>
          <w:sz w:val="20"/>
          <w:szCs w:val="20"/>
        </w:rPr>
        <w:t xml:space="preserve"> organisations which receive most of their income from a party cannot be independent of that party.  </w:t>
      </w:r>
    </w:p>
    <w:p w14:paraId="284BA01E" w14:textId="4F8B47C3" w:rsidR="000833FA" w:rsidRPr="000833FA" w:rsidRDefault="000833FA" w:rsidP="00716F69">
      <w:pPr>
        <w:spacing w:after="0" w:line="276" w:lineRule="auto"/>
        <w:rPr>
          <w:rFonts w:ascii="Arial" w:hAnsi="Arial" w:cs="Arial"/>
          <w:sz w:val="20"/>
          <w:szCs w:val="20"/>
        </w:rPr>
      </w:pPr>
      <w:r w:rsidRPr="000833FA">
        <w:rPr>
          <w:rFonts w:ascii="Arial" w:hAnsi="Arial" w:cs="Arial"/>
          <w:sz w:val="20"/>
          <w:szCs w:val="20"/>
        </w:rPr>
        <w:lastRenderedPageBreak/>
        <w:t xml:space="preserve">Nor should they be. They need to be independent of those who stand to benefit from their </w:t>
      </w:r>
      <w:r w:rsidR="008812F3">
        <w:rPr>
          <w:rFonts w:ascii="Arial" w:hAnsi="Arial" w:cs="Arial"/>
          <w:sz w:val="20"/>
          <w:szCs w:val="20"/>
        </w:rPr>
        <w:t xml:space="preserve">public </w:t>
      </w:r>
      <w:r w:rsidRPr="000833FA">
        <w:rPr>
          <w:rFonts w:ascii="Arial" w:hAnsi="Arial" w:cs="Arial"/>
          <w:sz w:val="20"/>
          <w:szCs w:val="20"/>
        </w:rPr>
        <w:t>d</w:t>
      </w:r>
      <w:r w:rsidR="00591CAB">
        <w:rPr>
          <w:rFonts w:ascii="Arial" w:hAnsi="Arial" w:cs="Arial"/>
          <w:sz w:val="20"/>
          <w:szCs w:val="20"/>
        </w:rPr>
        <w:t>uties</w:t>
      </w:r>
      <w:r w:rsidRPr="000833FA">
        <w:rPr>
          <w:rFonts w:ascii="Arial" w:hAnsi="Arial" w:cs="Arial"/>
          <w:sz w:val="20"/>
          <w:szCs w:val="20"/>
        </w:rPr>
        <w:t>.</w:t>
      </w:r>
      <w:r w:rsidR="008812F3">
        <w:rPr>
          <w:rFonts w:ascii="Arial" w:hAnsi="Arial" w:cs="Arial"/>
          <w:sz w:val="20"/>
          <w:szCs w:val="20"/>
        </w:rPr>
        <w:t xml:space="preserve">  </w:t>
      </w:r>
      <w:r w:rsidRPr="000833FA">
        <w:rPr>
          <w:rFonts w:ascii="Arial" w:hAnsi="Arial" w:cs="Arial"/>
          <w:sz w:val="20"/>
          <w:szCs w:val="20"/>
        </w:rPr>
        <w:t xml:space="preserve">To conform </w:t>
      </w:r>
      <w:r w:rsidR="0005111B">
        <w:rPr>
          <w:rFonts w:ascii="Arial" w:hAnsi="Arial" w:cs="Arial"/>
          <w:sz w:val="20"/>
          <w:szCs w:val="20"/>
        </w:rPr>
        <w:t>with</w:t>
      </w:r>
      <w:r w:rsidRPr="000833FA">
        <w:rPr>
          <w:rFonts w:ascii="Arial" w:hAnsi="Arial" w:cs="Arial"/>
          <w:sz w:val="20"/>
          <w:szCs w:val="20"/>
        </w:rPr>
        <w:t xml:space="preserve"> transparency principle</w:t>
      </w:r>
      <w:r w:rsidR="008812F3">
        <w:rPr>
          <w:rFonts w:ascii="Arial" w:hAnsi="Arial" w:cs="Arial"/>
          <w:sz w:val="20"/>
          <w:szCs w:val="20"/>
        </w:rPr>
        <w:t>s</w:t>
      </w:r>
      <w:r w:rsidRPr="000833FA">
        <w:rPr>
          <w:rFonts w:ascii="Arial" w:hAnsi="Arial" w:cs="Arial"/>
          <w:sz w:val="20"/>
          <w:szCs w:val="20"/>
        </w:rPr>
        <w:t xml:space="preserve"> ‘independent’ government organisations should disclose more than other government bodies. </w:t>
      </w:r>
    </w:p>
    <w:p w14:paraId="602228D7" w14:textId="77777777" w:rsidR="008812F3" w:rsidRDefault="008812F3" w:rsidP="00716F69">
      <w:pPr>
        <w:spacing w:after="0" w:line="276" w:lineRule="auto"/>
        <w:rPr>
          <w:rFonts w:ascii="Arial" w:hAnsi="Arial" w:cs="Arial"/>
          <w:sz w:val="20"/>
          <w:szCs w:val="20"/>
        </w:rPr>
      </w:pPr>
    </w:p>
    <w:p w14:paraId="32BC19B2" w14:textId="7C39C757" w:rsidR="00154A50" w:rsidRDefault="000833FA" w:rsidP="00716F69">
      <w:pPr>
        <w:spacing w:after="0" w:line="276" w:lineRule="auto"/>
        <w:rPr>
          <w:rFonts w:ascii="Arial" w:hAnsi="Arial" w:cs="Arial"/>
          <w:sz w:val="20"/>
          <w:szCs w:val="20"/>
        </w:rPr>
      </w:pPr>
      <w:r w:rsidRPr="000833FA">
        <w:rPr>
          <w:rFonts w:ascii="Arial" w:hAnsi="Arial" w:cs="Arial"/>
          <w:sz w:val="20"/>
          <w:szCs w:val="20"/>
        </w:rPr>
        <w:t>The guidelines have that public servants should not be on the boards of Government organisations, particularly those within their portfolio.  The given reason is public servants may be compromised in advi</w:t>
      </w:r>
      <w:r w:rsidR="00591CAB">
        <w:rPr>
          <w:rFonts w:ascii="Arial" w:hAnsi="Arial" w:cs="Arial"/>
          <w:sz w:val="20"/>
          <w:szCs w:val="20"/>
        </w:rPr>
        <w:t>sing</w:t>
      </w:r>
      <w:r w:rsidRPr="000833FA">
        <w:rPr>
          <w:rFonts w:ascii="Arial" w:hAnsi="Arial" w:cs="Arial"/>
          <w:sz w:val="20"/>
          <w:szCs w:val="20"/>
        </w:rPr>
        <w:t xml:space="preserve"> Government on organisational performance.  </w:t>
      </w:r>
    </w:p>
    <w:p w14:paraId="4FA153E8" w14:textId="77777777" w:rsidR="00693E1F" w:rsidRDefault="00693E1F" w:rsidP="00716F69">
      <w:pPr>
        <w:spacing w:after="0" w:line="276" w:lineRule="auto"/>
        <w:rPr>
          <w:rFonts w:ascii="Arial" w:hAnsi="Arial" w:cs="Arial"/>
          <w:sz w:val="20"/>
          <w:szCs w:val="20"/>
        </w:rPr>
      </w:pPr>
    </w:p>
    <w:p w14:paraId="08FCFBCB" w14:textId="15993CBF" w:rsidR="000833FA" w:rsidRPr="000833FA" w:rsidRDefault="008812F3" w:rsidP="00716F69">
      <w:pPr>
        <w:spacing w:after="0" w:line="276" w:lineRule="auto"/>
        <w:rPr>
          <w:rFonts w:ascii="Arial" w:hAnsi="Arial" w:cs="Arial"/>
          <w:sz w:val="20"/>
          <w:szCs w:val="20"/>
        </w:rPr>
      </w:pPr>
      <w:r>
        <w:rPr>
          <w:rFonts w:ascii="Arial" w:hAnsi="Arial" w:cs="Arial"/>
          <w:sz w:val="20"/>
          <w:szCs w:val="20"/>
        </w:rPr>
        <w:t>This implies</w:t>
      </w:r>
      <w:r w:rsidR="000833FA" w:rsidRPr="000833FA">
        <w:rPr>
          <w:rFonts w:ascii="Arial" w:hAnsi="Arial" w:cs="Arial"/>
          <w:sz w:val="20"/>
          <w:szCs w:val="20"/>
        </w:rPr>
        <w:t xml:space="preserve"> performance of </w:t>
      </w:r>
      <w:r>
        <w:rPr>
          <w:rFonts w:ascii="Arial" w:hAnsi="Arial" w:cs="Arial"/>
          <w:sz w:val="20"/>
          <w:szCs w:val="20"/>
        </w:rPr>
        <w:t>such</w:t>
      </w:r>
      <w:r w:rsidR="000833FA" w:rsidRPr="000833FA">
        <w:rPr>
          <w:rFonts w:ascii="Arial" w:hAnsi="Arial" w:cs="Arial"/>
          <w:sz w:val="20"/>
          <w:szCs w:val="20"/>
        </w:rPr>
        <w:t xml:space="preserve"> organisation</w:t>
      </w:r>
      <w:r>
        <w:rPr>
          <w:rFonts w:ascii="Arial" w:hAnsi="Arial" w:cs="Arial"/>
          <w:sz w:val="20"/>
          <w:szCs w:val="20"/>
        </w:rPr>
        <w:t>s</w:t>
      </w:r>
      <w:r w:rsidR="000833FA" w:rsidRPr="000833FA">
        <w:rPr>
          <w:rFonts w:ascii="Arial" w:hAnsi="Arial" w:cs="Arial"/>
          <w:sz w:val="20"/>
          <w:szCs w:val="20"/>
        </w:rPr>
        <w:t xml:space="preserve"> </w:t>
      </w:r>
      <w:r>
        <w:rPr>
          <w:rFonts w:ascii="Arial" w:hAnsi="Arial" w:cs="Arial"/>
          <w:sz w:val="20"/>
          <w:szCs w:val="20"/>
        </w:rPr>
        <w:t>are</w:t>
      </w:r>
      <w:r w:rsidR="000833FA" w:rsidRPr="000833FA">
        <w:rPr>
          <w:rFonts w:ascii="Arial" w:hAnsi="Arial" w:cs="Arial"/>
          <w:sz w:val="20"/>
          <w:szCs w:val="20"/>
        </w:rPr>
        <w:t xml:space="preserve"> not assess</w:t>
      </w:r>
      <w:r>
        <w:rPr>
          <w:rFonts w:ascii="Arial" w:hAnsi="Arial" w:cs="Arial"/>
          <w:sz w:val="20"/>
          <w:szCs w:val="20"/>
        </w:rPr>
        <w:t>able</w:t>
      </w:r>
      <w:r w:rsidR="000833FA" w:rsidRPr="000833FA">
        <w:rPr>
          <w:rFonts w:ascii="Arial" w:hAnsi="Arial" w:cs="Arial"/>
          <w:sz w:val="20"/>
          <w:szCs w:val="20"/>
        </w:rPr>
        <w:t xml:space="preserve"> by financial indicators.</w:t>
      </w:r>
      <w:r w:rsidR="00591CAB">
        <w:rPr>
          <w:rFonts w:ascii="Arial" w:hAnsi="Arial" w:cs="Arial"/>
          <w:sz w:val="20"/>
          <w:szCs w:val="20"/>
        </w:rPr>
        <w:t xml:space="preserve">  It also implies a ‘new principle’; avoidance of conflict of several public duties, as distinct from avoidance of conflict of public duty and private interest.</w:t>
      </w:r>
    </w:p>
    <w:p w14:paraId="6C5449E0" w14:textId="77777777" w:rsidR="000833FA" w:rsidRPr="000833FA" w:rsidRDefault="000833FA" w:rsidP="00716F69">
      <w:pPr>
        <w:spacing w:after="0" w:line="276" w:lineRule="auto"/>
        <w:rPr>
          <w:rFonts w:ascii="Arial" w:hAnsi="Arial" w:cs="Arial"/>
          <w:sz w:val="20"/>
          <w:szCs w:val="20"/>
        </w:rPr>
      </w:pPr>
    </w:p>
    <w:p w14:paraId="78A2F9E0" w14:textId="751F8687" w:rsidR="000833FA" w:rsidRPr="000833FA" w:rsidRDefault="000833FA" w:rsidP="00716F69">
      <w:pPr>
        <w:spacing w:after="0" w:line="276" w:lineRule="auto"/>
        <w:rPr>
          <w:rFonts w:ascii="Arial" w:hAnsi="Arial" w:cs="Arial"/>
          <w:sz w:val="20"/>
          <w:szCs w:val="20"/>
        </w:rPr>
      </w:pPr>
      <w:r w:rsidRPr="000833FA">
        <w:rPr>
          <w:rFonts w:ascii="Arial" w:hAnsi="Arial" w:cs="Arial"/>
          <w:sz w:val="20"/>
          <w:szCs w:val="20"/>
        </w:rPr>
        <w:t xml:space="preserve">The above indicates </w:t>
      </w:r>
      <w:r w:rsidR="0005111B">
        <w:rPr>
          <w:rFonts w:ascii="Arial" w:hAnsi="Arial" w:cs="Arial"/>
          <w:sz w:val="20"/>
          <w:szCs w:val="20"/>
        </w:rPr>
        <w:t>confusion</w:t>
      </w:r>
      <w:r w:rsidRPr="000833FA">
        <w:rPr>
          <w:rFonts w:ascii="Arial" w:hAnsi="Arial" w:cs="Arial"/>
          <w:sz w:val="20"/>
          <w:szCs w:val="20"/>
        </w:rPr>
        <w:t>.  Th</w:t>
      </w:r>
      <w:r w:rsidR="008812F3">
        <w:rPr>
          <w:rFonts w:ascii="Arial" w:hAnsi="Arial" w:cs="Arial"/>
          <w:sz w:val="20"/>
          <w:szCs w:val="20"/>
        </w:rPr>
        <w:t>is</w:t>
      </w:r>
      <w:r w:rsidRPr="000833FA">
        <w:rPr>
          <w:rFonts w:ascii="Arial" w:hAnsi="Arial" w:cs="Arial"/>
          <w:sz w:val="20"/>
          <w:szCs w:val="20"/>
        </w:rPr>
        <w:t xml:space="preserve"> hides </w:t>
      </w:r>
      <w:r w:rsidR="008812F3">
        <w:rPr>
          <w:rFonts w:ascii="Arial" w:hAnsi="Arial" w:cs="Arial"/>
          <w:sz w:val="20"/>
          <w:szCs w:val="20"/>
        </w:rPr>
        <w:t>large gaps</w:t>
      </w:r>
      <w:r w:rsidRPr="000833FA">
        <w:rPr>
          <w:rFonts w:ascii="Arial" w:hAnsi="Arial" w:cs="Arial"/>
          <w:sz w:val="20"/>
          <w:szCs w:val="20"/>
        </w:rPr>
        <w:t xml:space="preserve">. </w:t>
      </w:r>
      <w:r w:rsidR="008812F3">
        <w:rPr>
          <w:rFonts w:ascii="Arial" w:hAnsi="Arial" w:cs="Arial"/>
          <w:sz w:val="20"/>
          <w:szCs w:val="20"/>
        </w:rPr>
        <w:t>For example, n</w:t>
      </w:r>
      <w:r w:rsidRPr="000833FA">
        <w:rPr>
          <w:rFonts w:ascii="Arial" w:hAnsi="Arial" w:cs="Arial"/>
          <w:sz w:val="20"/>
          <w:szCs w:val="20"/>
        </w:rPr>
        <w:t>othing is said of public servants being on the boards of private organisations.</w:t>
      </w:r>
    </w:p>
    <w:p w14:paraId="1F590EF9" w14:textId="77777777" w:rsidR="000833FA" w:rsidRPr="000833FA" w:rsidRDefault="000833FA" w:rsidP="00716F69">
      <w:pPr>
        <w:spacing w:after="0" w:line="276" w:lineRule="auto"/>
        <w:rPr>
          <w:rFonts w:ascii="Arial" w:hAnsi="Arial" w:cs="Arial"/>
          <w:sz w:val="20"/>
          <w:szCs w:val="20"/>
        </w:rPr>
      </w:pPr>
    </w:p>
    <w:p w14:paraId="36A01F07" w14:textId="3F3C489C" w:rsidR="000833FA" w:rsidRPr="00D55C6C" w:rsidRDefault="000833FA" w:rsidP="00716F69">
      <w:pPr>
        <w:pStyle w:val="Heading3"/>
        <w:spacing w:before="0" w:line="276" w:lineRule="auto"/>
        <w:rPr>
          <w:rFonts w:ascii="Arial" w:hAnsi="Arial" w:cs="Arial"/>
        </w:rPr>
      </w:pPr>
      <w:bookmarkStart w:id="12" w:name="_Toc7446755"/>
      <w:r w:rsidRPr="00D55C6C">
        <w:rPr>
          <w:rFonts w:ascii="Arial" w:hAnsi="Arial" w:cs="Arial"/>
        </w:rPr>
        <w:t>3.4</w:t>
      </w:r>
      <w:r w:rsidRPr="00D55C6C">
        <w:rPr>
          <w:rFonts w:ascii="Arial" w:hAnsi="Arial" w:cs="Arial"/>
        </w:rPr>
        <w:tab/>
      </w:r>
      <w:r w:rsidR="00D15440">
        <w:rPr>
          <w:rFonts w:ascii="Arial" w:hAnsi="Arial" w:cs="Arial"/>
        </w:rPr>
        <w:t>Some specific</w:t>
      </w:r>
      <w:r w:rsidRPr="00D55C6C">
        <w:rPr>
          <w:rFonts w:ascii="Arial" w:hAnsi="Arial" w:cs="Arial"/>
        </w:rPr>
        <w:t xml:space="preserve"> deficiencies</w:t>
      </w:r>
      <w:bookmarkEnd w:id="12"/>
    </w:p>
    <w:p w14:paraId="37D32EB4" w14:textId="77777777" w:rsidR="000833FA" w:rsidRPr="000833FA" w:rsidRDefault="000833FA" w:rsidP="00716F69">
      <w:pPr>
        <w:spacing w:after="0" w:line="276" w:lineRule="auto"/>
        <w:rPr>
          <w:rFonts w:ascii="Arial" w:hAnsi="Arial" w:cs="Arial"/>
          <w:sz w:val="20"/>
          <w:szCs w:val="20"/>
        </w:rPr>
      </w:pPr>
      <w:r w:rsidRPr="000833FA">
        <w:rPr>
          <w:rFonts w:ascii="Arial" w:hAnsi="Arial" w:cs="Arial"/>
          <w:sz w:val="20"/>
          <w:szCs w:val="20"/>
        </w:rPr>
        <w:t>The tenor of the draft report, and commissioned papers, concerns what needs to be done to make the Australian Public Service trusted.</w:t>
      </w:r>
    </w:p>
    <w:p w14:paraId="3BB37D18" w14:textId="77777777" w:rsidR="000833FA" w:rsidRPr="000833FA" w:rsidRDefault="000833FA" w:rsidP="00716F69">
      <w:pPr>
        <w:spacing w:after="0" w:line="276" w:lineRule="auto"/>
        <w:rPr>
          <w:rFonts w:ascii="Arial" w:hAnsi="Arial" w:cs="Arial"/>
          <w:sz w:val="20"/>
          <w:szCs w:val="20"/>
        </w:rPr>
      </w:pPr>
    </w:p>
    <w:p w14:paraId="2C0C670B" w14:textId="66882FC5" w:rsidR="001214DA" w:rsidRDefault="000833FA" w:rsidP="00716F69">
      <w:pPr>
        <w:spacing w:after="0" w:line="276" w:lineRule="auto"/>
        <w:rPr>
          <w:rFonts w:ascii="Arial" w:hAnsi="Arial" w:cs="Arial"/>
          <w:sz w:val="20"/>
          <w:szCs w:val="20"/>
        </w:rPr>
      </w:pPr>
      <w:r w:rsidRPr="000833FA">
        <w:rPr>
          <w:rFonts w:ascii="Arial" w:hAnsi="Arial" w:cs="Arial"/>
          <w:sz w:val="20"/>
          <w:szCs w:val="20"/>
        </w:rPr>
        <w:t>The commissioned paper on the integrity framework points to deficiencies, including of understandings, of an appropriate governance framework.</w:t>
      </w:r>
      <w:r w:rsidR="00591CAB">
        <w:rPr>
          <w:rStyle w:val="EndnoteReference"/>
          <w:rFonts w:ascii="Arial" w:hAnsi="Arial" w:cs="Arial"/>
          <w:sz w:val="20"/>
          <w:szCs w:val="20"/>
        </w:rPr>
        <w:endnoteReference w:id="28"/>
      </w:r>
      <w:r w:rsidRPr="000833FA">
        <w:rPr>
          <w:rFonts w:ascii="Arial" w:hAnsi="Arial" w:cs="Arial"/>
          <w:sz w:val="20"/>
          <w:szCs w:val="20"/>
        </w:rPr>
        <w:t xml:space="preserve">  </w:t>
      </w:r>
    </w:p>
    <w:p w14:paraId="29139375" w14:textId="77777777" w:rsidR="001214DA" w:rsidRDefault="001214DA" w:rsidP="00716F69">
      <w:pPr>
        <w:spacing w:after="0" w:line="276" w:lineRule="auto"/>
        <w:rPr>
          <w:rFonts w:ascii="Arial" w:hAnsi="Arial" w:cs="Arial"/>
          <w:sz w:val="20"/>
          <w:szCs w:val="20"/>
        </w:rPr>
      </w:pPr>
    </w:p>
    <w:p w14:paraId="6FD2C30E" w14:textId="056CDA94" w:rsidR="000833FA" w:rsidRPr="000833FA" w:rsidRDefault="00A01F37" w:rsidP="00716F69">
      <w:pPr>
        <w:spacing w:after="0" w:line="276" w:lineRule="auto"/>
        <w:rPr>
          <w:rFonts w:ascii="Arial" w:hAnsi="Arial" w:cs="Arial"/>
          <w:sz w:val="20"/>
          <w:szCs w:val="20"/>
        </w:rPr>
      </w:pPr>
      <w:r>
        <w:rPr>
          <w:rFonts w:ascii="Arial" w:hAnsi="Arial" w:cs="Arial"/>
          <w:sz w:val="20"/>
          <w:szCs w:val="20"/>
        </w:rPr>
        <w:t>S</w:t>
      </w:r>
      <w:r w:rsidR="000833FA" w:rsidRPr="000833FA">
        <w:rPr>
          <w:rFonts w:ascii="Arial" w:hAnsi="Arial" w:cs="Arial"/>
          <w:sz w:val="20"/>
          <w:szCs w:val="20"/>
        </w:rPr>
        <w:t xml:space="preserve">ome further examples </w:t>
      </w:r>
      <w:r w:rsidR="001214DA">
        <w:rPr>
          <w:rFonts w:ascii="Arial" w:hAnsi="Arial" w:cs="Arial"/>
          <w:sz w:val="20"/>
          <w:szCs w:val="20"/>
        </w:rPr>
        <w:t xml:space="preserve">are </w:t>
      </w:r>
      <w:r w:rsidR="000833FA" w:rsidRPr="000833FA">
        <w:rPr>
          <w:rFonts w:ascii="Arial" w:hAnsi="Arial" w:cs="Arial"/>
          <w:sz w:val="20"/>
          <w:szCs w:val="20"/>
        </w:rPr>
        <w:t>worth considering by the review.</w:t>
      </w:r>
    </w:p>
    <w:p w14:paraId="0391D8EA" w14:textId="77777777" w:rsidR="000833FA" w:rsidRPr="000833FA" w:rsidRDefault="000833FA" w:rsidP="00716F69">
      <w:pPr>
        <w:spacing w:after="0" w:line="276" w:lineRule="auto"/>
        <w:rPr>
          <w:rFonts w:ascii="Arial" w:hAnsi="Arial" w:cs="Arial"/>
          <w:sz w:val="20"/>
          <w:szCs w:val="20"/>
        </w:rPr>
      </w:pPr>
    </w:p>
    <w:p w14:paraId="0D3B40FC" w14:textId="77777777" w:rsidR="000833FA" w:rsidRPr="000833FA" w:rsidRDefault="000833FA" w:rsidP="00716F69">
      <w:pPr>
        <w:pStyle w:val="Heading4"/>
        <w:spacing w:before="0" w:line="276" w:lineRule="auto"/>
        <w:rPr>
          <w:rFonts w:ascii="Arial" w:hAnsi="Arial" w:cs="Arial"/>
          <w:sz w:val="20"/>
          <w:szCs w:val="20"/>
        </w:rPr>
      </w:pPr>
      <w:r w:rsidRPr="000833FA">
        <w:rPr>
          <w:rFonts w:ascii="Arial" w:hAnsi="Arial" w:cs="Arial"/>
          <w:sz w:val="20"/>
          <w:szCs w:val="20"/>
        </w:rPr>
        <w:t>Membership of private boards</w:t>
      </w:r>
    </w:p>
    <w:p w14:paraId="3538AAF6" w14:textId="1E85F579" w:rsidR="000833FA" w:rsidRPr="000833FA" w:rsidRDefault="000833FA" w:rsidP="00716F69">
      <w:pPr>
        <w:spacing w:after="0" w:line="276" w:lineRule="auto"/>
        <w:rPr>
          <w:rFonts w:ascii="Arial" w:hAnsi="Arial" w:cs="Arial"/>
          <w:sz w:val="20"/>
          <w:szCs w:val="20"/>
        </w:rPr>
      </w:pPr>
      <w:r w:rsidRPr="000833FA">
        <w:rPr>
          <w:rFonts w:ascii="Arial" w:hAnsi="Arial" w:cs="Arial"/>
          <w:sz w:val="20"/>
          <w:szCs w:val="20"/>
        </w:rPr>
        <w:t>For some time</w:t>
      </w:r>
      <w:r w:rsidR="00850CBC">
        <w:rPr>
          <w:rFonts w:ascii="Arial" w:hAnsi="Arial" w:cs="Arial"/>
          <w:sz w:val="20"/>
          <w:szCs w:val="20"/>
        </w:rPr>
        <w:t>,</w:t>
      </w:r>
      <w:r w:rsidRPr="000833FA">
        <w:rPr>
          <w:rFonts w:ascii="Arial" w:hAnsi="Arial" w:cs="Arial"/>
          <w:sz w:val="20"/>
          <w:szCs w:val="20"/>
        </w:rPr>
        <w:t xml:space="preserve"> senior </w:t>
      </w:r>
      <w:r w:rsidR="0053369B">
        <w:rPr>
          <w:rFonts w:ascii="Arial" w:hAnsi="Arial" w:cs="Arial"/>
          <w:sz w:val="20"/>
          <w:szCs w:val="20"/>
        </w:rPr>
        <w:t>Commonwealth and State</w:t>
      </w:r>
      <w:r w:rsidRPr="000833FA">
        <w:rPr>
          <w:rFonts w:ascii="Arial" w:hAnsi="Arial" w:cs="Arial"/>
          <w:sz w:val="20"/>
          <w:szCs w:val="20"/>
        </w:rPr>
        <w:t xml:space="preserve"> public servants have been members of ‘advisory’ etc. boards of </w:t>
      </w:r>
      <w:r w:rsidR="0053369B">
        <w:rPr>
          <w:rFonts w:ascii="Arial" w:hAnsi="Arial" w:cs="Arial"/>
          <w:sz w:val="20"/>
          <w:szCs w:val="20"/>
        </w:rPr>
        <w:t>industry associations / ‘think tanks’</w:t>
      </w:r>
      <w:r w:rsidRPr="000833FA">
        <w:rPr>
          <w:rFonts w:ascii="Arial" w:hAnsi="Arial" w:cs="Arial"/>
          <w:sz w:val="20"/>
          <w:szCs w:val="20"/>
        </w:rPr>
        <w:t xml:space="preserve"> some regard as lobby groups.  Infrastructure Partnerships Australia </w:t>
      </w:r>
      <w:r w:rsidR="0053369B">
        <w:rPr>
          <w:rFonts w:ascii="Arial" w:hAnsi="Arial" w:cs="Arial"/>
          <w:sz w:val="20"/>
          <w:szCs w:val="20"/>
        </w:rPr>
        <w:t>is one</w:t>
      </w:r>
      <w:r w:rsidRPr="000833FA">
        <w:rPr>
          <w:rFonts w:ascii="Arial" w:hAnsi="Arial" w:cs="Arial"/>
          <w:sz w:val="20"/>
          <w:szCs w:val="20"/>
        </w:rPr>
        <w:t xml:space="preserve"> example.</w:t>
      </w:r>
      <w:r w:rsidR="00D15440">
        <w:rPr>
          <w:rStyle w:val="EndnoteReference"/>
          <w:rFonts w:ascii="Arial" w:hAnsi="Arial" w:cs="Arial"/>
          <w:sz w:val="20"/>
          <w:szCs w:val="20"/>
        </w:rPr>
        <w:endnoteReference w:id="29"/>
      </w:r>
      <w:r w:rsidRPr="000833FA">
        <w:rPr>
          <w:rFonts w:ascii="Arial" w:hAnsi="Arial" w:cs="Arial"/>
          <w:sz w:val="20"/>
          <w:szCs w:val="20"/>
        </w:rPr>
        <w:t xml:space="preserve">  </w:t>
      </w:r>
    </w:p>
    <w:p w14:paraId="5A0367AC" w14:textId="77777777" w:rsidR="000833FA" w:rsidRPr="000833FA" w:rsidRDefault="000833FA" w:rsidP="00716F69">
      <w:pPr>
        <w:spacing w:after="0" w:line="276" w:lineRule="auto"/>
        <w:rPr>
          <w:rFonts w:ascii="Arial" w:hAnsi="Arial" w:cs="Arial"/>
          <w:sz w:val="20"/>
          <w:szCs w:val="20"/>
        </w:rPr>
      </w:pPr>
    </w:p>
    <w:p w14:paraId="4FAD1630" w14:textId="4DBDDFBD" w:rsidR="000833FA" w:rsidRPr="000833FA" w:rsidRDefault="000833FA" w:rsidP="00716F69">
      <w:pPr>
        <w:spacing w:after="0" w:line="276" w:lineRule="auto"/>
        <w:rPr>
          <w:rFonts w:ascii="Arial" w:hAnsi="Arial" w:cs="Arial"/>
          <w:sz w:val="20"/>
          <w:szCs w:val="20"/>
        </w:rPr>
      </w:pPr>
      <w:r w:rsidRPr="000833FA">
        <w:rPr>
          <w:rFonts w:ascii="Arial" w:hAnsi="Arial" w:cs="Arial"/>
          <w:sz w:val="20"/>
          <w:szCs w:val="20"/>
        </w:rPr>
        <w:t>In my view this is bad practice</w:t>
      </w:r>
      <w:r w:rsidR="007727BC">
        <w:rPr>
          <w:rFonts w:ascii="Arial" w:hAnsi="Arial" w:cs="Arial"/>
          <w:sz w:val="20"/>
          <w:szCs w:val="20"/>
        </w:rPr>
        <w:t xml:space="preserve"> being</w:t>
      </w:r>
      <w:r w:rsidRPr="000833FA">
        <w:rPr>
          <w:rFonts w:ascii="Arial" w:hAnsi="Arial" w:cs="Arial"/>
          <w:sz w:val="20"/>
          <w:szCs w:val="20"/>
        </w:rPr>
        <w:t xml:space="preserve"> incompatible with the duties of Departmental officers to represent and advise Government.</w:t>
      </w:r>
      <w:r w:rsidR="007727BC">
        <w:rPr>
          <w:rStyle w:val="EndnoteReference"/>
          <w:rFonts w:ascii="Arial" w:hAnsi="Arial" w:cs="Arial"/>
          <w:sz w:val="20"/>
          <w:szCs w:val="20"/>
        </w:rPr>
        <w:endnoteReference w:id="30"/>
      </w:r>
      <w:r w:rsidRPr="000833FA">
        <w:rPr>
          <w:rFonts w:ascii="Arial" w:hAnsi="Arial" w:cs="Arial"/>
          <w:sz w:val="20"/>
          <w:szCs w:val="20"/>
        </w:rPr>
        <w:t xml:space="preserve">  </w:t>
      </w:r>
    </w:p>
    <w:p w14:paraId="7C364A46" w14:textId="77777777" w:rsidR="000833FA" w:rsidRPr="000833FA" w:rsidRDefault="000833FA" w:rsidP="00716F69">
      <w:pPr>
        <w:spacing w:after="0" w:line="276" w:lineRule="auto"/>
        <w:rPr>
          <w:rFonts w:ascii="Arial" w:hAnsi="Arial" w:cs="Arial"/>
          <w:sz w:val="20"/>
          <w:szCs w:val="20"/>
        </w:rPr>
      </w:pPr>
    </w:p>
    <w:p w14:paraId="49CC69BF" w14:textId="0C7B76E6" w:rsidR="000833FA" w:rsidRPr="000833FA" w:rsidRDefault="00816AC5" w:rsidP="00716F69">
      <w:pPr>
        <w:spacing w:after="0" w:line="276" w:lineRule="auto"/>
        <w:rPr>
          <w:rFonts w:ascii="Arial" w:hAnsi="Arial" w:cs="Arial"/>
          <w:sz w:val="20"/>
          <w:szCs w:val="20"/>
        </w:rPr>
      </w:pPr>
      <w:r>
        <w:rPr>
          <w:rFonts w:ascii="Arial" w:hAnsi="Arial" w:cs="Arial"/>
          <w:sz w:val="20"/>
          <w:szCs w:val="20"/>
        </w:rPr>
        <w:t>If</w:t>
      </w:r>
      <w:r w:rsidR="000833FA" w:rsidRPr="000833FA">
        <w:rPr>
          <w:rFonts w:ascii="Arial" w:hAnsi="Arial" w:cs="Arial"/>
          <w:sz w:val="20"/>
          <w:szCs w:val="20"/>
        </w:rPr>
        <w:t xml:space="preserve"> membership of ‘industry peak’ boards is not a breach of guidelines </w:t>
      </w:r>
      <w:r w:rsidR="00154A50">
        <w:rPr>
          <w:rFonts w:ascii="Arial" w:hAnsi="Arial" w:cs="Arial"/>
          <w:sz w:val="20"/>
          <w:szCs w:val="20"/>
        </w:rPr>
        <w:t>the</w:t>
      </w:r>
      <w:r w:rsidR="000833FA" w:rsidRPr="000833FA">
        <w:rPr>
          <w:rFonts w:ascii="Arial" w:hAnsi="Arial" w:cs="Arial"/>
          <w:sz w:val="20"/>
          <w:szCs w:val="20"/>
        </w:rPr>
        <w:t xml:space="preserve"> guidelines are grossly inadequate and beside the point.  </w:t>
      </w:r>
      <w:r w:rsidR="00693E1F">
        <w:rPr>
          <w:rFonts w:ascii="Arial" w:hAnsi="Arial" w:cs="Arial"/>
          <w:sz w:val="20"/>
          <w:szCs w:val="20"/>
        </w:rPr>
        <w:t>The matter</w:t>
      </w:r>
      <w:r w:rsidR="000833FA" w:rsidRPr="000833FA">
        <w:rPr>
          <w:rFonts w:ascii="Arial" w:hAnsi="Arial" w:cs="Arial"/>
          <w:sz w:val="20"/>
          <w:szCs w:val="20"/>
        </w:rPr>
        <w:t xml:space="preserve"> has not been publicly addressed by ‘oversight’ such as by the Secretaries Board.</w:t>
      </w:r>
    </w:p>
    <w:p w14:paraId="4201AA37" w14:textId="77777777" w:rsidR="000833FA" w:rsidRPr="000833FA" w:rsidRDefault="000833FA" w:rsidP="00716F69">
      <w:pPr>
        <w:spacing w:after="0" w:line="276" w:lineRule="auto"/>
        <w:rPr>
          <w:rFonts w:ascii="Arial" w:hAnsi="Arial" w:cs="Arial"/>
          <w:sz w:val="20"/>
          <w:szCs w:val="20"/>
        </w:rPr>
      </w:pPr>
    </w:p>
    <w:p w14:paraId="54EBD40D" w14:textId="453275A8" w:rsidR="000833FA" w:rsidRPr="000833FA" w:rsidRDefault="000833FA" w:rsidP="00716F69">
      <w:pPr>
        <w:pStyle w:val="Heading4"/>
        <w:spacing w:before="0" w:line="276" w:lineRule="auto"/>
        <w:rPr>
          <w:rFonts w:ascii="Arial" w:hAnsi="Arial" w:cs="Arial"/>
          <w:sz w:val="20"/>
          <w:szCs w:val="20"/>
        </w:rPr>
      </w:pPr>
      <w:r w:rsidRPr="000833FA">
        <w:rPr>
          <w:rFonts w:ascii="Arial" w:hAnsi="Arial" w:cs="Arial"/>
          <w:sz w:val="20"/>
          <w:szCs w:val="20"/>
        </w:rPr>
        <w:t xml:space="preserve">Infrastructure Australia </w:t>
      </w:r>
      <w:r w:rsidR="00D15440">
        <w:rPr>
          <w:rFonts w:ascii="Arial" w:hAnsi="Arial" w:cs="Arial"/>
          <w:sz w:val="20"/>
          <w:szCs w:val="20"/>
        </w:rPr>
        <w:t xml:space="preserve">as a </w:t>
      </w:r>
      <w:r w:rsidRPr="000833FA">
        <w:rPr>
          <w:rFonts w:ascii="Arial" w:hAnsi="Arial" w:cs="Arial"/>
          <w:sz w:val="20"/>
          <w:szCs w:val="20"/>
        </w:rPr>
        <w:t>corporation</w:t>
      </w:r>
    </w:p>
    <w:p w14:paraId="7632C8EA" w14:textId="77777777" w:rsidR="000833FA" w:rsidRPr="000833FA" w:rsidRDefault="000833FA" w:rsidP="00716F69">
      <w:pPr>
        <w:spacing w:after="0" w:line="276" w:lineRule="auto"/>
        <w:rPr>
          <w:rFonts w:ascii="Arial" w:hAnsi="Arial" w:cs="Arial"/>
          <w:sz w:val="20"/>
          <w:szCs w:val="20"/>
        </w:rPr>
      </w:pPr>
      <w:r w:rsidRPr="000833FA">
        <w:rPr>
          <w:rFonts w:ascii="Arial" w:hAnsi="Arial" w:cs="Arial"/>
          <w:sz w:val="20"/>
          <w:szCs w:val="20"/>
        </w:rPr>
        <w:t xml:space="preserve">Changes to the governance of Infrastructure Australia in 2014, purportedly to make it independent of the Government, also raise concerns. </w:t>
      </w:r>
    </w:p>
    <w:p w14:paraId="1552C32E" w14:textId="77777777" w:rsidR="000833FA" w:rsidRPr="000833FA" w:rsidRDefault="000833FA" w:rsidP="00716F69">
      <w:pPr>
        <w:spacing w:after="0" w:line="276" w:lineRule="auto"/>
        <w:rPr>
          <w:rFonts w:ascii="Arial" w:hAnsi="Arial" w:cs="Arial"/>
          <w:sz w:val="20"/>
          <w:szCs w:val="20"/>
        </w:rPr>
      </w:pPr>
    </w:p>
    <w:p w14:paraId="23166D17" w14:textId="44A5C7F1" w:rsidR="000833FA" w:rsidRPr="000833FA" w:rsidRDefault="000833FA" w:rsidP="00716F69">
      <w:pPr>
        <w:spacing w:after="0" w:line="276" w:lineRule="auto"/>
        <w:rPr>
          <w:rFonts w:ascii="Arial" w:hAnsi="Arial" w:cs="Arial"/>
          <w:sz w:val="20"/>
          <w:szCs w:val="20"/>
        </w:rPr>
      </w:pPr>
      <w:r w:rsidRPr="000833FA">
        <w:rPr>
          <w:rFonts w:ascii="Arial" w:hAnsi="Arial" w:cs="Arial"/>
          <w:sz w:val="20"/>
          <w:szCs w:val="20"/>
        </w:rPr>
        <w:t>The changes in effect make it a corporation which is inappropriate for a government advisory body.  That it receives all its income from the Commonwealth, does not compete with private firms, does not trade and cannot create substantial financial liabilities demonstrate its form to be a nonsense.</w:t>
      </w:r>
      <w:r w:rsidR="00D15440">
        <w:rPr>
          <w:rStyle w:val="EndnoteReference"/>
          <w:rFonts w:ascii="Arial" w:hAnsi="Arial" w:cs="Arial"/>
          <w:sz w:val="20"/>
          <w:szCs w:val="20"/>
        </w:rPr>
        <w:endnoteReference w:id="31"/>
      </w:r>
      <w:r w:rsidRPr="000833FA">
        <w:rPr>
          <w:rFonts w:ascii="Arial" w:hAnsi="Arial" w:cs="Arial"/>
          <w:sz w:val="20"/>
          <w:szCs w:val="20"/>
        </w:rPr>
        <w:t xml:space="preserve">  </w:t>
      </w:r>
    </w:p>
    <w:p w14:paraId="2E63D9BB" w14:textId="77777777" w:rsidR="000833FA" w:rsidRPr="000833FA" w:rsidRDefault="000833FA" w:rsidP="00716F69">
      <w:pPr>
        <w:spacing w:after="0" w:line="276" w:lineRule="auto"/>
        <w:rPr>
          <w:rFonts w:ascii="Arial" w:hAnsi="Arial" w:cs="Arial"/>
          <w:sz w:val="20"/>
          <w:szCs w:val="20"/>
        </w:rPr>
      </w:pPr>
    </w:p>
    <w:p w14:paraId="47A4B49F" w14:textId="761BE93A" w:rsidR="000833FA" w:rsidRPr="000833FA" w:rsidRDefault="000833FA" w:rsidP="00716F69">
      <w:pPr>
        <w:spacing w:after="0" w:line="276" w:lineRule="auto"/>
        <w:rPr>
          <w:rFonts w:ascii="Arial" w:hAnsi="Arial" w:cs="Arial"/>
          <w:sz w:val="20"/>
          <w:szCs w:val="20"/>
        </w:rPr>
      </w:pPr>
      <w:r w:rsidRPr="000833FA">
        <w:rPr>
          <w:rFonts w:ascii="Arial" w:hAnsi="Arial" w:cs="Arial"/>
          <w:sz w:val="20"/>
          <w:szCs w:val="20"/>
        </w:rPr>
        <w:t xml:space="preserve">Its core function, to provide the Commonwealth with advice on infrastructure, means it needs to be independent from those who stand to gain from </w:t>
      </w:r>
      <w:r w:rsidR="00D15440">
        <w:rPr>
          <w:rFonts w:ascii="Arial" w:hAnsi="Arial" w:cs="Arial"/>
          <w:sz w:val="20"/>
          <w:szCs w:val="20"/>
        </w:rPr>
        <w:t>Commonwealth</w:t>
      </w:r>
      <w:r w:rsidR="00816AC5">
        <w:rPr>
          <w:rFonts w:ascii="Arial" w:hAnsi="Arial" w:cs="Arial"/>
          <w:sz w:val="20"/>
          <w:szCs w:val="20"/>
        </w:rPr>
        <w:t xml:space="preserve"> public decisions</w:t>
      </w:r>
      <w:r w:rsidRPr="000833FA">
        <w:rPr>
          <w:rFonts w:ascii="Arial" w:hAnsi="Arial" w:cs="Arial"/>
          <w:sz w:val="20"/>
          <w:szCs w:val="20"/>
        </w:rPr>
        <w:t xml:space="preserve">. Relevant parties include the States, Commonwealth spending Departments and private firms with infrastructure advisory, financing or construction (potential) interests.  </w:t>
      </w:r>
    </w:p>
    <w:p w14:paraId="14B221DD" w14:textId="77777777" w:rsidR="000833FA" w:rsidRPr="000833FA" w:rsidRDefault="000833FA" w:rsidP="00716F69">
      <w:pPr>
        <w:spacing w:after="0" w:line="276" w:lineRule="auto"/>
        <w:rPr>
          <w:rFonts w:ascii="Arial" w:hAnsi="Arial" w:cs="Arial"/>
          <w:sz w:val="20"/>
          <w:szCs w:val="20"/>
        </w:rPr>
      </w:pPr>
    </w:p>
    <w:p w14:paraId="2CF99BA5" w14:textId="77777777" w:rsidR="00904CD0" w:rsidRDefault="000833FA" w:rsidP="00716F69">
      <w:pPr>
        <w:spacing w:after="0" w:line="276" w:lineRule="auto"/>
        <w:rPr>
          <w:rFonts w:ascii="Arial" w:hAnsi="Arial" w:cs="Arial"/>
          <w:sz w:val="20"/>
          <w:szCs w:val="20"/>
        </w:rPr>
      </w:pPr>
      <w:r w:rsidRPr="000833FA">
        <w:rPr>
          <w:rFonts w:ascii="Arial" w:hAnsi="Arial" w:cs="Arial"/>
          <w:sz w:val="20"/>
          <w:szCs w:val="20"/>
        </w:rPr>
        <w:t>Th</w:t>
      </w:r>
      <w:r w:rsidR="00D15440">
        <w:rPr>
          <w:rFonts w:ascii="Arial" w:hAnsi="Arial" w:cs="Arial"/>
          <w:sz w:val="20"/>
          <w:szCs w:val="20"/>
        </w:rPr>
        <w:t>is</w:t>
      </w:r>
      <w:r w:rsidRPr="000833FA">
        <w:rPr>
          <w:rFonts w:ascii="Arial" w:hAnsi="Arial" w:cs="Arial"/>
          <w:sz w:val="20"/>
          <w:szCs w:val="20"/>
        </w:rPr>
        <w:t xml:space="preserve"> broad extent of possible interests </w:t>
      </w:r>
      <w:r w:rsidR="00AD1E15">
        <w:rPr>
          <w:rFonts w:ascii="Arial" w:hAnsi="Arial" w:cs="Arial"/>
          <w:sz w:val="20"/>
          <w:szCs w:val="20"/>
        </w:rPr>
        <w:t xml:space="preserve">and contentious and contested nature of its decisions </w:t>
      </w:r>
      <w:r w:rsidRPr="000833FA">
        <w:rPr>
          <w:rFonts w:ascii="Arial" w:hAnsi="Arial" w:cs="Arial"/>
          <w:sz w:val="20"/>
          <w:szCs w:val="20"/>
        </w:rPr>
        <w:t>suggests board decision making is inappropriate, at least when board members are not full-time employees of the Australian Public Service.</w:t>
      </w:r>
      <w:r w:rsidR="00904CD0">
        <w:rPr>
          <w:rFonts w:ascii="Arial" w:hAnsi="Arial" w:cs="Arial"/>
          <w:sz w:val="20"/>
          <w:szCs w:val="20"/>
        </w:rPr>
        <w:t xml:space="preserve">  </w:t>
      </w:r>
    </w:p>
    <w:p w14:paraId="6105DF9B" w14:textId="1754D845" w:rsidR="000833FA" w:rsidRPr="000833FA" w:rsidRDefault="000833FA" w:rsidP="00716F69">
      <w:pPr>
        <w:spacing w:after="0" w:line="276" w:lineRule="auto"/>
        <w:rPr>
          <w:rFonts w:ascii="Arial" w:hAnsi="Arial" w:cs="Arial"/>
          <w:sz w:val="20"/>
          <w:szCs w:val="20"/>
        </w:rPr>
      </w:pPr>
      <w:r w:rsidRPr="000833FA">
        <w:rPr>
          <w:rFonts w:ascii="Arial" w:hAnsi="Arial" w:cs="Arial"/>
          <w:sz w:val="20"/>
          <w:szCs w:val="20"/>
        </w:rPr>
        <w:lastRenderedPageBreak/>
        <w:t xml:space="preserve">Infrastructure Australia should be a commission and operate like the Productivity Commission rather than </w:t>
      </w:r>
      <w:r w:rsidR="00D15440">
        <w:rPr>
          <w:rFonts w:ascii="Arial" w:hAnsi="Arial" w:cs="Arial"/>
          <w:sz w:val="20"/>
          <w:szCs w:val="20"/>
        </w:rPr>
        <w:t>its current</w:t>
      </w:r>
      <w:r w:rsidRPr="000833FA">
        <w:rPr>
          <w:rFonts w:ascii="Arial" w:hAnsi="Arial" w:cs="Arial"/>
          <w:sz w:val="20"/>
          <w:szCs w:val="20"/>
        </w:rPr>
        <w:t xml:space="preserve"> convoluted structure.</w:t>
      </w:r>
      <w:r w:rsidR="00AD1E15">
        <w:rPr>
          <w:rStyle w:val="EndnoteReference"/>
          <w:rFonts w:ascii="Arial" w:hAnsi="Arial" w:cs="Arial"/>
          <w:sz w:val="20"/>
          <w:szCs w:val="20"/>
        </w:rPr>
        <w:endnoteReference w:id="32"/>
      </w:r>
    </w:p>
    <w:p w14:paraId="3960327F" w14:textId="77777777" w:rsidR="000833FA" w:rsidRPr="000833FA" w:rsidRDefault="000833FA" w:rsidP="00716F69">
      <w:pPr>
        <w:spacing w:after="0" w:line="276" w:lineRule="auto"/>
        <w:rPr>
          <w:rFonts w:ascii="Arial" w:hAnsi="Arial" w:cs="Arial"/>
          <w:sz w:val="20"/>
          <w:szCs w:val="20"/>
        </w:rPr>
      </w:pPr>
    </w:p>
    <w:p w14:paraId="3A7E0F46" w14:textId="7855C4E1" w:rsidR="000833FA" w:rsidRPr="000833FA" w:rsidRDefault="000833FA" w:rsidP="00716F69">
      <w:pPr>
        <w:spacing w:after="0" w:line="276" w:lineRule="auto"/>
        <w:rPr>
          <w:rFonts w:ascii="Arial" w:hAnsi="Arial" w:cs="Arial"/>
          <w:sz w:val="20"/>
          <w:szCs w:val="20"/>
        </w:rPr>
      </w:pPr>
      <w:r w:rsidRPr="000833FA">
        <w:rPr>
          <w:rFonts w:ascii="Arial" w:hAnsi="Arial" w:cs="Arial"/>
          <w:sz w:val="20"/>
          <w:szCs w:val="20"/>
        </w:rPr>
        <w:t xml:space="preserve">The process leading to the changes raises unsettling issues.  The inappropriateness of the corporate scheme could be interpreted as a subterfuge for removing Parliamentary influence over appointment of the chief executive, among other things diluting the influence of the Public Service Act.  In this regard explicit references by the (incoming) Government to removal of the chief executive are peculiar and </w:t>
      </w:r>
      <w:r w:rsidR="00D15440">
        <w:rPr>
          <w:rFonts w:ascii="Arial" w:hAnsi="Arial" w:cs="Arial"/>
          <w:sz w:val="20"/>
          <w:szCs w:val="20"/>
        </w:rPr>
        <w:t>the</w:t>
      </w:r>
      <w:r w:rsidRPr="000833FA">
        <w:rPr>
          <w:rFonts w:ascii="Arial" w:hAnsi="Arial" w:cs="Arial"/>
          <w:sz w:val="20"/>
          <w:szCs w:val="20"/>
        </w:rPr>
        <w:t xml:space="preserve"> public record does not show the Australian Public Service in a good light.</w:t>
      </w:r>
      <w:r w:rsidR="00D15440">
        <w:rPr>
          <w:rStyle w:val="EndnoteReference"/>
          <w:rFonts w:ascii="Arial" w:hAnsi="Arial" w:cs="Arial"/>
          <w:sz w:val="20"/>
          <w:szCs w:val="20"/>
        </w:rPr>
        <w:endnoteReference w:id="33"/>
      </w:r>
      <w:r w:rsidRPr="000833FA">
        <w:rPr>
          <w:rFonts w:ascii="Arial" w:hAnsi="Arial" w:cs="Arial"/>
          <w:sz w:val="20"/>
          <w:szCs w:val="20"/>
        </w:rPr>
        <w:t xml:space="preserve">  </w:t>
      </w:r>
    </w:p>
    <w:p w14:paraId="45F63C62" w14:textId="77777777" w:rsidR="00904CD0" w:rsidRDefault="00904CD0" w:rsidP="00716F69">
      <w:pPr>
        <w:pStyle w:val="Heading4"/>
        <w:spacing w:before="0" w:line="276" w:lineRule="auto"/>
        <w:rPr>
          <w:rFonts w:ascii="Arial" w:hAnsi="Arial" w:cs="Arial"/>
          <w:sz w:val="20"/>
          <w:szCs w:val="20"/>
        </w:rPr>
      </w:pPr>
    </w:p>
    <w:p w14:paraId="1743B95B" w14:textId="7ED4D4D7" w:rsidR="000833FA" w:rsidRPr="00D20B05" w:rsidRDefault="000833FA" w:rsidP="00716F69">
      <w:pPr>
        <w:pStyle w:val="Heading4"/>
        <w:spacing w:before="0" w:line="276" w:lineRule="auto"/>
        <w:rPr>
          <w:rFonts w:ascii="Arial" w:hAnsi="Arial" w:cs="Arial"/>
          <w:sz w:val="20"/>
          <w:szCs w:val="20"/>
        </w:rPr>
      </w:pPr>
      <w:r w:rsidRPr="00D20B05">
        <w:rPr>
          <w:rFonts w:ascii="Arial" w:hAnsi="Arial" w:cs="Arial"/>
          <w:sz w:val="20"/>
          <w:szCs w:val="20"/>
        </w:rPr>
        <w:t>Joint jurisdictional organisations</w:t>
      </w:r>
    </w:p>
    <w:p w14:paraId="1C2A9068" w14:textId="52CB0EFE" w:rsidR="000833FA" w:rsidRPr="000833FA" w:rsidRDefault="000833FA" w:rsidP="00716F69">
      <w:pPr>
        <w:spacing w:after="0" w:line="276" w:lineRule="auto"/>
        <w:rPr>
          <w:rFonts w:ascii="Arial" w:hAnsi="Arial" w:cs="Arial"/>
          <w:sz w:val="20"/>
          <w:szCs w:val="20"/>
        </w:rPr>
      </w:pPr>
      <w:r w:rsidRPr="000833FA">
        <w:rPr>
          <w:rFonts w:ascii="Arial" w:hAnsi="Arial" w:cs="Arial"/>
          <w:sz w:val="20"/>
          <w:szCs w:val="20"/>
        </w:rPr>
        <w:t>The commissioned paper on jurisdictions made some observations about Commonwealth-State relations among officials and suggestions for improvements.  Among the bases for these suggestions was the observation that national issues do not always require Commonwealth control, leadership or even involvement.</w:t>
      </w:r>
      <w:r w:rsidR="00181F42">
        <w:rPr>
          <w:rStyle w:val="EndnoteReference"/>
          <w:rFonts w:ascii="Arial" w:hAnsi="Arial" w:cs="Arial"/>
          <w:sz w:val="20"/>
          <w:szCs w:val="20"/>
        </w:rPr>
        <w:endnoteReference w:id="34"/>
      </w:r>
    </w:p>
    <w:p w14:paraId="27F2B009" w14:textId="77777777" w:rsidR="000833FA" w:rsidRPr="000833FA" w:rsidRDefault="000833FA" w:rsidP="00716F69">
      <w:pPr>
        <w:spacing w:after="0" w:line="276" w:lineRule="auto"/>
        <w:rPr>
          <w:rFonts w:ascii="Arial" w:hAnsi="Arial" w:cs="Arial"/>
          <w:sz w:val="20"/>
          <w:szCs w:val="20"/>
        </w:rPr>
      </w:pPr>
    </w:p>
    <w:p w14:paraId="24582356" w14:textId="2D99D1FD" w:rsidR="000833FA" w:rsidRPr="000833FA" w:rsidRDefault="000833FA" w:rsidP="00716F69">
      <w:pPr>
        <w:spacing w:after="0" w:line="276" w:lineRule="auto"/>
        <w:rPr>
          <w:rFonts w:ascii="Arial" w:hAnsi="Arial" w:cs="Arial"/>
          <w:sz w:val="20"/>
          <w:szCs w:val="20"/>
        </w:rPr>
      </w:pPr>
      <w:r w:rsidRPr="000833FA">
        <w:rPr>
          <w:rFonts w:ascii="Arial" w:hAnsi="Arial" w:cs="Arial"/>
          <w:sz w:val="20"/>
          <w:szCs w:val="20"/>
        </w:rPr>
        <w:t xml:space="preserve">Examples in the transport and infrastructure portfolio illustrate these and other points.  </w:t>
      </w:r>
      <w:r w:rsidR="00D82C7F">
        <w:rPr>
          <w:rFonts w:ascii="Arial" w:hAnsi="Arial" w:cs="Arial"/>
          <w:sz w:val="20"/>
          <w:szCs w:val="20"/>
        </w:rPr>
        <w:t>Most especially t</w:t>
      </w:r>
      <w:r w:rsidRPr="000833FA">
        <w:rPr>
          <w:rFonts w:ascii="Arial" w:hAnsi="Arial" w:cs="Arial"/>
          <w:sz w:val="20"/>
          <w:szCs w:val="20"/>
        </w:rPr>
        <w:t xml:space="preserve">he Australian Public Service, as distinct from Commonwealth Ministers, </w:t>
      </w:r>
      <w:r w:rsidR="00181F42">
        <w:rPr>
          <w:rFonts w:ascii="Arial" w:hAnsi="Arial" w:cs="Arial"/>
          <w:sz w:val="20"/>
          <w:szCs w:val="20"/>
        </w:rPr>
        <w:t>resists</w:t>
      </w:r>
      <w:r w:rsidRPr="000833FA">
        <w:rPr>
          <w:rFonts w:ascii="Arial" w:hAnsi="Arial" w:cs="Arial"/>
          <w:sz w:val="20"/>
          <w:szCs w:val="20"/>
        </w:rPr>
        <w:t xml:space="preserve"> organisations and agendas it does not control.  </w:t>
      </w:r>
    </w:p>
    <w:p w14:paraId="64505A74" w14:textId="77777777" w:rsidR="000833FA" w:rsidRPr="000833FA" w:rsidRDefault="000833FA" w:rsidP="00716F69">
      <w:pPr>
        <w:spacing w:after="0" w:line="276" w:lineRule="auto"/>
        <w:rPr>
          <w:rFonts w:ascii="Arial" w:hAnsi="Arial" w:cs="Arial"/>
          <w:sz w:val="20"/>
          <w:szCs w:val="20"/>
        </w:rPr>
      </w:pPr>
    </w:p>
    <w:p w14:paraId="79AB0787" w14:textId="3AA2B790" w:rsidR="000833FA" w:rsidRPr="000833FA" w:rsidRDefault="000833FA" w:rsidP="00716F69">
      <w:pPr>
        <w:spacing w:after="0" w:line="276" w:lineRule="auto"/>
        <w:rPr>
          <w:rFonts w:ascii="Arial" w:hAnsi="Arial" w:cs="Arial"/>
          <w:sz w:val="20"/>
          <w:szCs w:val="20"/>
        </w:rPr>
      </w:pPr>
      <w:r w:rsidRPr="000833FA">
        <w:rPr>
          <w:rFonts w:ascii="Arial" w:hAnsi="Arial" w:cs="Arial"/>
          <w:sz w:val="20"/>
          <w:szCs w:val="20"/>
        </w:rPr>
        <w:t>Nonetheless the Service</w:t>
      </w:r>
      <w:r w:rsidR="00181F42">
        <w:rPr>
          <w:rFonts w:ascii="Arial" w:hAnsi="Arial" w:cs="Arial"/>
          <w:sz w:val="20"/>
          <w:szCs w:val="20"/>
        </w:rPr>
        <w:t xml:space="preserve"> </w:t>
      </w:r>
      <w:r w:rsidRPr="000833FA">
        <w:rPr>
          <w:rFonts w:ascii="Arial" w:hAnsi="Arial" w:cs="Arial"/>
          <w:sz w:val="20"/>
          <w:szCs w:val="20"/>
        </w:rPr>
        <w:t xml:space="preserve">also </w:t>
      </w:r>
      <w:r w:rsidR="00181F42">
        <w:rPr>
          <w:rFonts w:ascii="Arial" w:hAnsi="Arial" w:cs="Arial"/>
          <w:sz w:val="20"/>
          <w:szCs w:val="20"/>
        </w:rPr>
        <w:t>resists</w:t>
      </w:r>
      <w:r w:rsidRPr="000833FA">
        <w:rPr>
          <w:rFonts w:ascii="Arial" w:hAnsi="Arial" w:cs="Arial"/>
          <w:sz w:val="20"/>
          <w:szCs w:val="20"/>
        </w:rPr>
        <w:t xml:space="preserve"> identifying or pursuing national issues that could require the Commonwealth to consider new policy issues or responses. </w:t>
      </w:r>
      <w:r w:rsidR="00106AC6">
        <w:rPr>
          <w:rFonts w:ascii="Arial" w:hAnsi="Arial" w:cs="Arial"/>
          <w:sz w:val="20"/>
          <w:szCs w:val="20"/>
        </w:rPr>
        <w:t xml:space="preserve"> T</w:t>
      </w:r>
      <w:r w:rsidRPr="000833FA">
        <w:rPr>
          <w:rFonts w:ascii="Arial" w:hAnsi="Arial" w:cs="Arial"/>
          <w:sz w:val="20"/>
          <w:szCs w:val="20"/>
        </w:rPr>
        <w:t>here have been long standing requests and attempts by States, industry and the community to establish a national transport advisor</w:t>
      </w:r>
      <w:r w:rsidR="00D15440">
        <w:rPr>
          <w:rFonts w:ascii="Arial" w:hAnsi="Arial" w:cs="Arial"/>
          <w:sz w:val="20"/>
          <w:szCs w:val="20"/>
        </w:rPr>
        <w:t xml:space="preserve">, </w:t>
      </w:r>
      <w:r w:rsidRPr="000833FA">
        <w:rPr>
          <w:rFonts w:ascii="Arial" w:hAnsi="Arial" w:cs="Arial"/>
          <w:sz w:val="20"/>
          <w:szCs w:val="20"/>
        </w:rPr>
        <w:t>to consider national transport policies</w:t>
      </w:r>
      <w:r w:rsidR="00D15440">
        <w:rPr>
          <w:rFonts w:ascii="Arial" w:hAnsi="Arial" w:cs="Arial"/>
          <w:sz w:val="20"/>
          <w:szCs w:val="20"/>
        </w:rPr>
        <w:t xml:space="preserve"> and to provide public exposure to deliberations</w:t>
      </w:r>
      <w:r w:rsidRPr="000833FA">
        <w:rPr>
          <w:rFonts w:ascii="Arial" w:hAnsi="Arial" w:cs="Arial"/>
          <w:sz w:val="20"/>
          <w:szCs w:val="20"/>
        </w:rPr>
        <w:t>.  All have been vehemently resisted by the Australian Public Service.</w:t>
      </w:r>
      <w:r w:rsidR="00106AC6">
        <w:rPr>
          <w:rStyle w:val="EndnoteReference"/>
          <w:rFonts w:ascii="Arial" w:hAnsi="Arial" w:cs="Arial"/>
          <w:sz w:val="20"/>
          <w:szCs w:val="20"/>
        </w:rPr>
        <w:endnoteReference w:id="35"/>
      </w:r>
    </w:p>
    <w:p w14:paraId="314CBBC2" w14:textId="77777777" w:rsidR="000833FA" w:rsidRPr="000833FA" w:rsidRDefault="000833FA" w:rsidP="00716F69">
      <w:pPr>
        <w:spacing w:after="0" w:line="276" w:lineRule="auto"/>
        <w:rPr>
          <w:rFonts w:ascii="Arial" w:hAnsi="Arial" w:cs="Arial"/>
          <w:sz w:val="20"/>
          <w:szCs w:val="20"/>
        </w:rPr>
      </w:pPr>
    </w:p>
    <w:p w14:paraId="67CBC2BD" w14:textId="77777777" w:rsidR="000833FA" w:rsidRPr="000833FA" w:rsidRDefault="000833FA" w:rsidP="00716F69">
      <w:pPr>
        <w:spacing w:after="0" w:line="276" w:lineRule="auto"/>
        <w:rPr>
          <w:rFonts w:ascii="Arial" w:hAnsi="Arial" w:cs="Arial"/>
          <w:sz w:val="20"/>
          <w:szCs w:val="20"/>
        </w:rPr>
      </w:pPr>
      <w:r w:rsidRPr="000833FA">
        <w:rPr>
          <w:rFonts w:ascii="Arial" w:hAnsi="Arial" w:cs="Arial"/>
          <w:sz w:val="20"/>
          <w:szCs w:val="20"/>
        </w:rPr>
        <w:t>At present there are two organisations that may provide advice on a narrow range of national transport matters; Infrastructure Australia and the National Transport Commission.</w:t>
      </w:r>
    </w:p>
    <w:p w14:paraId="0EFAAE85" w14:textId="77777777" w:rsidR="000833FA" w:rsidRPr="000833FA" w:rsidRDefault="000833FA" w:rsidP="00716F69">
      <w:pPr>
        <w:spacing w:after="0" w:line="276" w:lineRule="auto"/>
        <w:rPr>
          <w:rFonts w:ascii="Arial" w:hAnsi="Arial" w:cs="Arial"/>
          <w:sz w:val="20"/>
          <w:szCs w:val="20"/>
        </w:rPr>
      </w:pPr>
    </w:p>
    <w:p w14:paraId="6CD13563" w14:textId="77777777" w:rsidR="00D15440" w:rsidRDefault="000833FA" w:rsidP="00716F69">
      <w:pPr>
        <w:spacing w:after="0" w:line="276" w:lineRule="auto"/>
        <w:rPr>
          <w:rFonts w:ascii="Arial" w:hAnsi="Arial" w:cs="Arial"/>
          <w:sz w:val="20"/>
          <w:szCs w:val="20"/>
        </w:rPr>
      </w:pPr>
      <w:r w:rsidRPr="000833FA">
        <w:rPr>
          <w:rFonts w:ascii="Arial" w:hAnsi="Arial" w:cs="Arial"/>
          <w:sz w:val="20"/>
          <w:szCs w:val="20"/>
        </w:rPr>
        <w:t xml:space="preserve">The defective governance for Infrastructure Australia is noted above.  </w:t>
      </w:r>
    </w:p>
    <w:p w14:paraId="0315D871" w14:textId="77777777" w:rsidR="00D15440" w:rsidRDefault="00D15440" w:rsidP="00716F69">
      <w:pPr>
        <w:spacing w:after="0" w:line="276" w:lineRule="auto"/>
        <w:rPr>
          <w:rFonts w:ascii="Arial" w:hAnsi="Arial" w:cs="Arial"/>
          <w:sz w:val="20"/>
          <w:szCs w:val="20"/>
        </w:rPr>
      </w:pPr>
    </w:p>
    <w:p w14:paraId="4205E056" w14:textId="1004E9B4" w:rsidR="000833FA" w:rsidRPr="000833FA" w:rsidRDefault="000833FA" w:rsidP="00716F69">
      <w:pPr>
        <w:spacing w:after="0" w:line="276" w:lineRule="auto"/>
        <w:rPr>
          <w:rFonts w:ascii="Arial" w:hAnsi="Arial" w:cs="Arial"/>
          <w:sz w:val="20"/>
          <w:szCs w:val="20"/>
        </w:rPr>
      </w:pPr>
      <w:r w:rsidRPr="000833FA">
        <w:rPr>
          <w:rFonts w:ascii="Arial" w:hAnsi="Arial" w:cs="Arial"/>
          <w:sz w:val="20"/>
          <w:szCs w:val="20"/>
        </w:rPr>
        <w:t>The National Transport Commission suffered continuous bureaucratic interference and unnecessary ‘reviews’ until Government officials, including from Commonwealth, joined its ‘board’.  The review leading up to this, conducted by the Department, recognised such arrangements did not accord with relevant guidelines but nonetheless recommended such a ‘reform’.</w:t>
      </w:r>
      <w:r w:rsidR="00D15440">
        <w:rPr>
          <w:rStyle w:val="EndnoteReference"/>
          <w:rFonts w:ascii="Arial" w:hAnsi="Arial" w:cs="Arial"/>
          <w:sz w:val="20"/>
          <w:szCs w:val="20"/>
        </w:rPr>
        <w:endnoteReference w:id="36"/>
      </w:r>
    </w:p>
    <w:p w14:paraId="767C09AC" w14:textId="77777777" w:rsidR="000833FA" w:rsidRPr="000833FA" w:rsidRDefault="000833FA" w:rsidP="00716F69">
      <w:pPr>
        <w:spacing w:after="0" w:line="276" w:lineRule="auto"/>
        <w:rPr>
          <w:rFonts w:ascii="Arial" w:hAnsi="Arial" w:cs="Arial"/>
          <w:sz w:val="20"/>
          <w:szCs w:val="20"/>
        </w:rPr>
      </w:pPr>
    </w:p>
    <w:p w14:paraId="0F8C01CD" w14:textId="52528CBC" w:rsidR="000833FA" w:rsidRPr="000833FA" w:rsidRDefault="000833FA" w:rsidP="00716F69">
      <w:pPr>
        <w:spacing w:after="0" w:line="276" w:lineRule="auto"/>
        <w:rPr>
          <w:rFonts w:ascii="Arial" w:hAnsi="Arial" w:cs="Arial"/>
          <w:sz w:val="20"/>
          <w:szCs w:val="20"/>
        </w:rPr>
      </w:pPr>
      <w:r w:rsidRPr="000833FA">
        <w:rPr>
          <w:rFonts w:ascii="Arial" w:hAnsi="Arial" w:cs="Arial"/>
          <w:sz w:val="20"/>
          <w:szCs w:val="20"/>
        </w:rPr>
        <w:t xml:space="preserve">Subsequently, </w:t>
      </w:r>
      <w:r w:rsidR="00D15440">
        <w:rPr>
          <w:rFonts w:ascii="Arial" w:hAnsi="Arial" w:cs="Arial"/>
          <w:sz w:val="20"/>
          <w:szCs w:val="20"/>
        </w:rPr>
        <w:t>public services, include the Australian Public Service, have put to Ministers and the public</w:t>
      </w:r>
      <w:r w:rsidRPr="000833FA">
        <w:rPr>
          <w:rFonts w:ascii="Arial" w:hAnsi="Arial" w:cs="Arial"/>
          <w:sz w:val="20"/>
          <w:szCs w:val="20"/>
        </w:rPr>
        <w:t xml:space="preserve"> associated ‘reforms’ some of which are not what they purport.  These include establishment of a ‘regulator’ which is unable to regulate and a proposal for an economic regulator which also would not regulate.  Proposals for road charges are misleading on a number of grounds including that the word ‘location’ is used to mean ‘type of road’.  The national transport network is a misnomer as it is not a network in any relevant sense, and the national freight network has little relevance to freight.</w:t>
      </w:r>
      <w:r w:rsidR="00106AC6">
        <w:rPr>
          <w:rStyle w:val="EndnoteReference"/>
          <w:rFonts w:ascii="Arial" w:hAnsi="Arial" w:cs="Arial"/>
          <w:sz w:val="20"/>
          <w:szCs w:val="20"/>
        </w:rPr>
        <w:endnoteReference w:id="37"/>
      </w:r>
    </w:p>
    <w:p w14:paraId="092DC1C2" w14:textId="57CF97F1" w:rsidR="000833FA" w:rsidRDefault="000833FA" w:rsidP="00716F69">
      <w:pPr>
        <w:spacing w:after="0" w:line="276" w:lineRule="auto"/>
        <w:rPr>
          <w:rFonts w:ascii="Arial" w:hAnsi="Arial" w:cs="Arial"/>
          <w:sz w:val="20"/>
          <w:szCs w:val="20"/>
        </w:rPr>
      </w:pPr>
    </w:p>
    <w:p w14:paraId="5204D250" w14:textId="63188893" w:rsidR="00D15440" w:rsidRPr="000833FA" w:rsidRDefault="00596A40" w:rsidP="00716F69">
      <w:pPr>
        <w:spacing w:after="0" w:line="276" w:lineRule="auto"/>
        <w:rPr>
          <w:rFonts w:ascii="Arial" w:hAnsi="Arial" w:cs="Arial"/>
          <w:sz w:val="20"/>
          <w:szCs w:val="20"/>
        </w:rPr>
      </w:pPr>
      <w:r>
        <w:rPr>
          <w:rFonts w:ascii="Arial" w:hAnsi="Arial" w:cs="Arial"/>
          <w:sz w:val="20"/>
          <w:szCs w:val="20"/>
        </w:rPr>
        <w:t xml:space="preserve">Undoubtedly </w:t>
      </w:r>
      <w:r w:rsidR="0057271E">
        <w:rPr>
          <w:rFonts w:ascii="Arial" w:hAnsi="Arial" w:cs="Arial"/>
          <w:sz w:val="20"/>
          <w:szCs w:val="20"/>
        </w:rPr>
        <w:t>such disingenuity</w:t>
      </w:r>
      <w:r>
        <w:rPr>
          <w:rFonts w:ascii="Arial" w:hAnsi="Arial" w:cs="Arial"/>
          <w:sz w:val="20"/>
          <w:szCs w:val="20"/>
        </w:rPr>
        <w:t xml:space="preserve"> has contributed to a distinct lack of trust, even cynicism, about national transport policy and the role of public serv</w:t>
      </w:r>
      <w:r w:rsidR="00154A50">
        <w:rPr>
          <w:rFonts w:ascii="Arial" w:hAnsi="Arial" w:cs="Arial"/>
          <w:sz w:val="20"/>
          <w:szCs w:val="20"/>
        </w:rPr>
        <w:t xml:space="preserve">ants </w:t>
      </w:r>
      <w:r>
        <w:rPr>
          <w:rFonts w:ascii="Arial" w:hAnsi="Arial" w:cs="Arial"/>
          <w:sz w:val="20"/>
          <w:szCs w:val="20"/>
        </w:rPr>
        <w:t>in it.</w:t>
      </w:r>
      <w:r w:rsidR="00D15440">
        <w:rPr>
          <w:rFonts w:ascii="Arial" w:hAnsi="Arial" w:cs="Arial"/>
          <w:sz w:val="20"/>
          <w:szCs w:val="20"/>
        </w:rPr>
        <w:t xml:space="preserve"> </w:t>
      </w:r>
    </w:p>
    <w:p w14:paraId="0154FF42" w14:textId="77777777" w:rsidR="00850CBC" w:rsidRDefault="00850CBC" w:rsidP="00716F69">
      <w:pPr>
        <w:pStyle w:val="Heading3"/>
        <w:spacing w:before="0" w:line="276" w:lineRule="auto"/>
        <w:rPr>
          <w:rFonts w:ascii="Arial" w:hAnsi="Arial" w:cs="Arial"/>
          <w:sz w:val="20"/>
          <w:szCs w:val="20"/>
        </w:rPr>
      </w:pPr>
    </w:p>
    <w:p w14:paraId="7D6C99F6" w14:textId="2831FF37" w:rsidR="00850CBC" w:rsidRPr="00850CBC" w:rsidRDefault="00850CBC" w:rsidP="00716F69">
      <w:pPr>
        <w:pStyle w:val="Heading2"/>
        <w:spacing w:before="0" w:line="276" w:lineRule="auto"/>
        <w:rPr>
          <w:rFonts w:ascii="Arial" w:hAnsi="Arial" w:cs="Arial"/>
          <w:sz w:val="28"/>
          <w:szCs w:val="28"/>
        </w:rPr>
      </w:pPr>
      <w:bookmarkStart w:id="13" w:name="_Toc7446756"/>
      <w:r w:rsidRPr="00850CBC">
        <w:rPr>
          <w:rFonts w:ascii="Arial" w:hAnsi="Arial" w:cs="Arial"/>
          <w:sz w:val="28"/>
          <w:szCs w:val="28"/>
        </w:rPr>
        <w:t>4.</w:t>
      </w:r>
      <w:r w:rsidRPr="00850CBC">
        <w:rPr>
          <w:rFonts w:ascii="Arial" w:hAnsi="Arial" w:cs="Arial"/>
          <w:sz w:val="28"/>
          <w:szCs w:val="28"/>
        </w:rPr>
        <w:tab/>
        <w:t>Conclusion</w:t>
      </w:r>
      <w:bookmarkEnd w:id="13"/>
    </w:p>
    <w:p w14:paraId="2A08052A" w14:textId="1B90F602" w:rsidR="000833FA" w:rsidRPr="007725A3" w:rsidRDefault="00596A40" w:rsidP="00716F69">
      <w:pPr>
        <w:pStyle w:val="Heading3"/>
        <w:spacing w:before="0" w:line="276" w:lineRule="auto"/>
        <w:rPr>
          <w:rFonts w:ascii="Arial" w:hAnsi="Arial" w:cs="Arial"/>
        </w:rPr>
      </w:pPr>
      <w:bookmarkStart w:id="14" w:name="_Toc7446757"/>
      <w:r w:rsidRPr="007725A3">
        <w:rPr>
          <w:rFonts w:ascii="Arial" w:hAnsi="Arial" w:cs="Arial"/>
        </w:rPr>
        <w:t>4.1</w:t>
      </w:r>
      <w:r w:rsidR="000833FA" w:rsidRPr="007725A3">
        <w:rPr>
          <w:rFonts w:ascii="Arial" w:hAnsi="Arial" w:cs="Arial"/>
        </w:rPr>
        <w:tab/>
      </w:r>
      <w:r w:rsidRPr="007725A3">
        <w:rPr>
          <w:rFonts w:ascii="Arial" w:hAnsi="Arial" w:cs="Arial"/>
        </w:rPr>
        <w:t>Gaps</w:t>
      </w:r>
      <w:bookmarkEnd w:id="14"/>
    </w:p>
    <w:p w14:paraId="5F96DB67" w14:textId="77777777" w:rsidR="00596A40" w:rsidRDefault="00596A40" w:rsidP="00716F69">
      <w:pPr>
        <w:spacing w:after="0" w:line="276" w:lineRule="auto"/>
        <w:rPr>
          <w:rFonts w:ascii="Arial" w:hAnsi="Arial" w:cs="Arial"/>
          <w:sz w:val="20"/>
          <w:szCs w:val="20"/>
        </w:rPr>
      </w:pPr>
      <w:r>
        <w:rPr>
          <w:rFonts w:ascii="Arial" w:hAnsi="Arial" w:cs="Arial"/>
          <w:sz w:val="20"/>
          <w:szCs w:val="20"/>
        </w:rPr>
        <w:t>The above demonstrates gaps in the draft report.</w:t>
      </w:r>
    </w:p>
    <w:p w14:paraId="7BB87219" w14:textId="77777777" w:rsidR="00596A40" w:rsidRDefault="00596A40" w:rsidP="00716F69">
      <w:pPr>
        <w:spacing w:after="0" w:line="276" w:lineRule="auto"/>
        <w:rPr>
          <w:rFonts w:ascii="Arial" w:hAnsi="Arial" w:cs="Arial"/>
          <w:sz w:val="20"/>
          <w:szCs w:val="20"/>
        </w:rPr>
      </w:pPr>
    </w:p>
    <w:p w14:paraId="275A539E" w14:textId="7BB80AC3" w:rsidR="00596A40" w:rsidRDefault="00596A40" w:rsidP="00716F69">
      <w:pPr>
        <w:spacing w:after="0" w:line="276" w:lineRule="auto"/>
        <w:rPr>
          <w:rFonts w:ascii="Arial" w:hAnsi="Arial" w:cs="Arial"/>
          <w:sz w:val="20"/>
          <w:szCs w:val="20"/>
        </w:rPr>
      </w:pPr>
      <w:r>
        <w:rPr>
          <w:rFonts w:ascii="Arial" w:hAnsi="Arial" w:cs="Arial"/>
          <w:sz w:val="20"/>
          <w:szCs w:val="20"/>
        </w:rPr>
        <w:t>The review should consider implications of recent Constitutional clarifications for the Australian Public Service.  This should include the respective roles of Departments and Statutory Authorities and relations with the States.</w:t>
      </w:r>
    </w:p>
    <w:p w14:paraId="4456D58C" w14:textId="524B4775" w:rsidR="00596A40" w:rsidRDefault="00596A40" w:rsidP="00716F69">
      <w:pPr>
        <w:spacing w:after="0" w:line="276" w:lineRule="auto"/>
        <w:rPr>
          <w:rFonts w:ascii="Arial" w:hAnsi="Arial" w:cs="Arial"/>
          <w:sz w:val="20"/>
          <w:szCs w:val="20"/>
        </w:rPr>
      </w:pPr>
    </w:p>
    <w:p w14:paraId="3D73C922" w14:textId="4FE4EB71" w:rsidR="00596A40" w:rsidRDefault="00596A40" w:rsidP="00716F69">
      <w:pPr>
        <w:spacing w:after="0" w:line="276" w:lineRule="auto"/>
        <w:rPr>
          <w:rFonts w:ascii="Arial" w:hAnsi="Arial" w:cs="Arial"/>
          <w:sz w:val="20"/>
          <w:szCs w:val="20"/>
        </w:rPr>
      </w:pPr>
      <w:r>
        <w:rPr>
          <w:rFonts w:ascii="Arial" w:hAnsi="Arial" w:cs="Arial"/>
          <w:sz w:val="20"/>
          <w:szCs w:val="20"/>
        </w:rPr>
        <w:t>It should also consider whether development of the Australian Public Service culture under the assumption of unlimited Commonwealth Executive influence is appropriate</w:t>
      </w:r>
      <w:r w:rsidR="0067320F">
        <w:rPr>
          <w:rFonts w:ascii="Arial" w:hAnsi="Arial" w:cs="Arial"/>
          <w:sz w:val="20"/>
          <w:szCs w:val="20"/>
        </w:rPr>
        <w:t>.</w:t>
      </w:r>
      <w:r>
        <w:rPr>
          <w:rFonts w:ascii="Arial" w:hAnsi="Arial" w:cs="Arial"/>
          <w:sz w:val="20"/>
          <w:szCs w:val="20"/>
        </w:rPr>
        <w:t xml:space="preserve"> </w:t>
      </w:r>
    </w:p>
    <w:p w14:paraId="4C13BD1C" w14:textId="77777777" w:rsidR="00596A40" w:rsidRDefault="00596A40" w:rsidP="00716F69">
      <w:pPr>
        <w:spacing w:after="0" w:line="276" w:lineRule="auto"/>
        <w:rPr>
          <w:rFonts w:ascii="Arial" w:hAnsi="Arial" w:cs="Arial"/>
          <w:sz w:val="20"/>
          <w:szCs w:val="20"/>
        </w:rPr>
      </w:pPr>
    </w:p>
    <w:p w14:paraId="6F47BFE7" w14:textId="470B9E57" w:rsidR="00596A40" w:rsidRDefault="00596A40" w:rsidP="00716F69">
      <w:pPr>
        <w:spacing w:after="0" w:line="276" w:lineRule="auto"/>
        <w:rPr>
          <w:rFonts w:ascii="Arial" w:hAnsi="Arial" w:cs="Arial"/>
          <w:sz w:val="20"/>
          <w:szCs w:val="20"/>
        </w:rPr>
      </w:pPr>
      <w:r>
        <w:rPr>
          <w:rFonts w:ascii="Arial" w:hAnsi="Arial" w:cs="Arial"/>
          <w:sz w:val="20"/>
          <w:szCs w:val="20"/>
        </w:rPr>
        <w:t>The presum</w:t>
      </w:r>
      <w:r w:rsidR="007725A3">
        <w:rPr>
          <w:rFonts w:ascii="Arial" w:hAnsi="Arial" w:cs="Arial"/>
          <w:sz w:val="20"/>
          <w:szCs w:val="20"/>
        </w:rPr>
        <w:t>ed</w:t>
      </w:r>
      <w:r>
        <w:rPr>
          <w:rFonts w:ascii="Arial" w:hAnsi="Arial" w:cs="Arial"/>
          <w:sz w:val="20"/>
          <w:szCs w:val="20"/>
        </w:rPr>
        <w:t xml:space="preserve"> necessity and merit of a ‘black letter law’ approach in the Australian Public Service also needs examination.  The danger of such an approach is illustrated by the perverse governance arrangements stemming from inadequate and confused guidelines.</w:t>
      </w:r>
    </w:p>
    <w:p w14:paraId="634129FE" w14:textId="77777777" w:rsidR="00596A40" w:rsidRDefault="00596A40" w:rsidP="00716F69">
      <w:pPr>
        <w:spacing w:after="0" w:line="276" w:lineRule="auto"/>
        <w:rPr>
          <w:rFonts w:ascii="Arial" w:hAnsi="Arial" w:cs="Arial"/>
          <w:sz w:val="20"/>
          <w:szCs w:val="20"/>
        </w:rPr>
      </w:pPr>
    </w:p>
    <w:p w14:paraId="774D46C0" w14:textId="77777777" w:rsidR="00596A40" w:rsidRPr="007725A3" w:rsidRDefault="00596A40" w:rsidP="007725A3">
      <w:pPr>
        <w:pStyle w:val="Heading3"/>
        <w:rPr>
          <w:rFonts w:ascii="Arial" w:hAnsi="Arial" w:cs="Arial"/>
        </w:rPr>
      </w:pPr>
      <w:bookmarkStart w:id="15" w:name="_Toc7446758"/>
      <w:r w:rsidRPr="007725A3">
        <w:rPr>
          <w:rFonts w:ascii="Arial" w:hAnsi="Arial" w:cs="Arial"/>
        </w:rPr>
        <w:t>4.2</w:t>
      </w:r>
      <w:r w:rsidRPr="007725A3">
        <w:rPr>
          <w:rFonts w:ascii="Arial" w:hAnsi="Arial" w:cs="Arial"/>
        </w:rPr>
        <w:tab/>
        <w:t>Themes</w:t>
      </w:r>
      <w:bookmarkEnd w:id="15"/>
    </w:p>
    <w:p w14:paraId="4F7258DD" w14:textId="642C9CDD" w:rsidR="007725A3" w:rsidRDefault="007725A3" w:rsidP="00716F69">
      <w:pPr>
        <w:spacing w:after="0" w:line="276" w:lineRule="auto"/>
        <w:rPr>
          <w:rFonts w:ascii="Arial" w:hAnsi="Arial" w:cs="Arial"/>
          <w:sz w:val="20"/>
          <w:szCs w:val="20"/>
        </w:rPr>
      </w:pPr>
      <w:r>
        <w:rPr>
          <w:rFonts w:ascii="Arial" w:hAnsi="Arial" w:cs="Arial"/>
          <w:sz w:val="20"/>
          <w:szCs w:val="20"/>
        </w:rPr>
        <w:t xml:space="preserve">Substantial elements of the draft report presume benefits accrue from centralisation of power. </w:t>
      </w:r>
      <w:r w:rsidR="00154A50">
        <w:rPr>
          <w:rFonts w:ascii="Arial" w:hAnsi="Arial" w:cs="Arial"/>
          <w:sz w:val="20"/>
          <w:szCs w:val="20"/>
        </w:rPr>
        <w:t xml:space="preserve">It asserts </w:t>
      </w:r>
      <w:r>
        <w:rPr>
          <w:rFonts w:ascii="Arial" w:hAnsi="Arial" w:cs="Arial"/>
          <w:sz w:val="20"/>
          <w:szCs w:val="20"/>
        </w:rPr>
        <w:t>outcomes would improve with greater central Department input and increased powers of Secretaries.</w:t>
      </w:r>
    </w:p>
    <w:p w14:paraId="511E9696" w14:textId="77777777" w:rsidR="00154A50" w:rsidRDefault="00154A50" w:rsidP="00716F69">
      <w:pPr>
        <w:spacing w:after="0" w:line="276" w:lineRule="auto"/>
        <w:rPr>
          <w:rFonts w:ascii="Arial" w:hAnsi="Arial" w:cs="Arial"/>
          <w:sz w:val="20"/>
          <w:szCs w:val="20"/>
        </w:rPr>
      </w:pPr>
    </w:p>
    <w:p w14:paraId="4428B192" w14:textId="3FAE2E3B" w:rsidR="007725A3" w:rsidRDefault="007725A3" w:rsidP="00716F69">
      <w:pPr>
        <w:spacing w:after="0" w:line="276" w:lineRule="auto"/>
        <w:rPr>
          <w:rFonts w:ascii="Arial" w:hAnsi="Arial" w:cs="Arial"/>
          <w:sz w:val="20"/>
          <w:szCs w:val="20"/>
        </w:rPr>
      </w:pPr>
      <w:r>
        <w:rPr>
          <w:rFonts w:ascii="Arial" w:hAnsi="Arial" w:cs="Arial"/>
          <w:sz w:val="20"/>
          <w:szCs w:val="20"/>
        </w:rPr>
        <w:t>This may reflect contributions to the review.  However, there are strong reasons to be cautious.  Centralisation tends to runs counter to democratic principles.  Also, the above suggests failures in existing centralis</w:t>
      </w:r>
      <w:r w:rsidR="00154A50">
        <w:rPr>
          <w:rFonts w:ascii="Arial" w:hAnsi="Arial" w:cs="Arial"/>
          <w:sz w:val="20"/>
          <w:szCs w:val="20"/>
        </w:rPr>
        <w:t>ed</w:t>
      </w:r>
      <w:r w:rsidR="0067320F">
        <w:rPr>
          <w:rFonts w:ascii="Arial" w:hAnsi="Arial" w:cs="Arial"/>
          <w:sz w:val="20"/>
          <w:szCs w:val="20"/>
        </w:rPr>
        <w:t xml:space="preserve"> </w:t>
      </w:r>
      <w:r>
        <w:rPr>
          <w:rFonts w:ascii="Arial" w:hAnsi="Arial" w:cs="Arial"/>
          <w:sz w:val="20"/>
          <w:szCs w:val="20"/>
        </w:rPr>
        <w:t>power ha</w:t>
      </w:r>
      <w:r w:rsidR="0057271E">
        <w:rPr>
          <w:rFonts w:ascii="Arial" w:hAnsi="Arial" w:cs="Arial"/>
          <w:sz w:val="20"/>
          <w:szCs w:val="20"/>
        </w:rPr>
        <w:t>ve</w:t>
      </w:r>
      <w:r>
        <w:rPr>
          <w:rFonts w:ascii="Arial" w:hAnsi="Arial" w:cs="Arial"/>
          <w:sz w:val="20"/>
          <w:szCs w:val="20"/>
        </w:rPr>
        <w:t xml:space="preserve"> contributed to deficiencies in the Public Service.</w:t>
      </w:r>
    </w:p>
    <w:p w14:paraId="3DAEA166" w14:textId="77777777" w:rsidR="007725A3" w:rsidRDefault="007725A3" w:rsidP="00716F69">
      <w:pPr>
        <w:spacing w:after="0" w:line="276" w:lineRule="auto"/>
        <w:rPr>
          <w:rFonts w:ascii="Arial" w:hAnsi="Arial" w:cs="Arial"/>
          <w:sz w:val="20"/>
          <w:szCs w:val="20"/>
        </w:rPr>
      </w:pPr>
    </w:p>
    <w:p w14:paraId="10BAECE2" w14:textId="6A0707CD" w:rsidR="000833FA" w:rsidRPr="000833FA" w:rsidRDefault="000833FA" w:rsidP="00716F69">
      <w:pPr>
        <w:spacing w:after="0" w:line="276" w:lineRule="auto"/>
        <w:rPr>
          <w:rFonts w:ascii="Arial" w:hAnsi="Arial" w:cs="Arial"/>
          <w:sz w:val="20"/>
          <w:szCs w:val="20"/>
        </w:rPr>
      </w:pPr>
      <w:r w:rsidRPr="000833FA">
        <w:rPr>
          <w:rFonts w:ascii="Arial" w:hAnsi="Arial" w:cs="Arial"/>
          <w:sz w:val="20"/>
          <w:szCs w:val="20"/>
        </w:rPr>
        <w:t>The</w:t>
      </w:r>
      <w:r w:rsidR="0057271E">
        <w:rPr>
          <w:rFonts w:ascii="Arial" w:hAnsi="Arial" w:cs="Arial"/>
          <w:sz w:val="20"/>
          <w:szCs w:val="20"/>
        </w:rPr>
        <w:t xml:space="preserve"> review did not enter the </w:t>
      </w:r>
      <w:r w:rsidRPr="000833FA">
        <w:rPr>
          <w:rFonts w:ascii="Arial" w:hAnsi="Arial" w:cs="Arial"/>
          <w:sz w:val="20"/>
          <w:szCs w:val="20"/>
        </w:rPr>
        <w:t>debate about whether ethics can be legislated.</w:t>
      </w:r>
      <w:r w:rsidR="0057271E">
        <w:rPr>
          <w:rFonts w:ascii="Arial" w:hAnsi="Arial" w:cs="Arial"/>
          <w:sz w:val="20"/>
          <w:szCs w:val="20"/>
        </w:rPr>
        <w:t xml:space="preserve">  Perhaps wisely.</w:t>
      </w:r>
    </w:p>
    <w:p w14:paraId="6E1E5EA9" w14:textId="77777777" w:rsidR="000833FA" w:rsidRPr="000833FA" w:rsidRDefault="000833FA" w:rsidP="00716F69">
      <w:pPr>
        <w:spacing w:after="0" w:line="276" w:lineRule="auto"/>
        <w:rPr>
          <w:rFonts w:ascii="Arial" w:hAnsi="Arial" w:cs="Arial"/>
          <w:sz w:val="20"/>
          <w:szCs w:val="20"/>
        </w:rPr>
      </w:pPr>
    </w:p>
    <w:p w14:paraId="1E225AF4" w14:textId="2FC9B426" w:rsidR="000833FA" w:rsidRPr="000833FA" w:rsidRDefault="000833FA" w:rsidP="00716F69">
      <w:pPr>
        <w:spacing w:after="0" w:line="276" w:lineRule="auto"/>
        <w:rPr>
          <w:rFonts w:ascii="Arial" w:hAnsi="Arial" w:cs="Arial"/>
          <w:sz w:val="20"/>
          <w:szCs w:val="20"/>
        </w:rPr>
      </w:pPr>
      <w:r w:rsidRPr="000833FA">
        <w:rPr>
          <w:rFonts w:ascii="Arial" w:hAnsi="Arial" w:cs="Arial"/>
          <w:sz w:val="20"/>
          <w:szCs w:val="20"/>
        </w:rPr>
        <w:t xml:space="preserve">However, there is little debate that effective exercise of controls – governance – presumes honesty </w:t>
      </w:r>
      <w:r w:rsidR="00E923B4">
        <w:rPr>
          <w:rFonts w:ascii="Arial" w:hAnsi="Arial" w:cs="Arial"/>
          <w:sz w:val="20"/>
          <w:szCs w:val="20"/>
        </w:rPr>
        <w:t xml:space="preserve">and respect </w:t>
      </w:r>
      <w:r w:rsidRPr="000833FA">
        <w:rPr>
          <w:rFonts w:ascii="Arial" w:hAnsi="Arial" w:cs="Arial"/>
          <w:sz w:val="20"/>
          <w:szCs w:val="20"/>
        </w:rPr>
        <w:t>by those with responsibilities of power in and stewardship over the legal framework.</w:t>
      </w:r>
    </w:p>
    <w:p w14:paraId="2708094D" w14:textId="77777777" w:rsidR="000833FA" w:rsidRPr="000833FA" w:rsidRDefault="000833FA" w:rsidP="00716F69">
      <w:pPr>
        <w:spacing w:after="0" w:line="276" w:lineRule="auto"/>
        <w:rPr>
          <w:rFonts w:ascii="Arial" w:hAnsi="Arial" w:cs="Arial"/>
          <w:sz w:val="20"/>
          <w:szCs w:val="20"/>
        </w:rPr>
      </w:pPr>
      <w:r w:rsidRPr="000833FA">
        <w:rPr>
          <w:rFonts w:ascii="Arial" w:hAnsi="Arial" w:cs="Arial"/>
          <w:sz w:val="20"/>
          <w:szCs w:val="20"/>
        </w:rPr>
        <w:t xml:space="preserve"> </w:t>
      </w:r>
    </w:p>
    <w:p w14:paraId="7A598D76" w14:textId="6AB64C71" w:rsidR="000833FA" w:rsidRPr="000833FA" w:rsidRDefault="000833FA" w:rsidP="00716F69">
      <w:pPr>
        <w:spacing w:after="0" w:line="276" w:lineRule="auto"/>
        <w:rPr>
          <w:rFonts w:ascii="Arial" w:hAnsi="Arial" w:cs="Arial"/>
          <w:sz w:val="20"/>
          <w:szCs w:val="20"/>
        </w:rPr>
      </w:pPr>
      <w:r w:rsidRPr="000833FA">
        <w:rPr>
          <w:rFonts w:ascii="Arial" w:hAnsi="Arial" w:cs="Arial"/>
          <w:sz w:val="20"/>
          <w:szCs w:val="20"/>
        </w:rPr>
        <w:t xml:space="preserve">The above </w:t>
      </w:r>
      <w:r w:rsidR="00220CD3">
        <w:rPr>
          <w:rFonts w:ascii="Arial" w:hAnsi="Arial" w:cs="Arial"/>
          <w:sz w:val="20"/>
          <w:szCs w:val="20"/>
        </w:rPr>
        <w:t>discussion</w:t>
      </w:r>
      <w:r w:rsidRPr="000833FA">
        <w:rPr>
          <w:rFonts w:ascii="Arial" w:hAnsi="Arial" w:cs="Arial"/>
          <w:sz w:val="20"/>
          <w:szCs w:val="20"/>
        </w:rPr>
        <w:t xml:space="preserve">, and </w:t>
      </w:r>
      <w:r w:rsidR="00220CD3">
        <w:rPr>
          <w:rFonts w:ascii="Arial" w:hAnsi="Arial" w:cs="Arial"/>
          <w:sz w:val="20"/>
          <w:szCs w:val="20"/>
        </w:rPr>
        <w:t>examples</w:t>
      </w:r>
      <w:r w:rsidRPr="000833FA">
        <w:rPr>
          <w:rFonts w:ascii="Arial" w:hAnsi="Arial" w:cs="Arial"/>
          <w:sz w:val="20"/>
          <w:szCs w:val="20"/>
        </w:rPr>
        <w:t xml:space="preserve"> in the second part of this submission, challenge whether this presumption has been met by the Australian Public Service in transport and infrastructure.  </w:t>
      </w:r>
    </w:p>
    <w:p w14:paraId="5894D470" w14:textId="77777777" w:rsidR="000833FA" w:rsidRPr="000833FA" w:rsidRDefault="000833FA" w:rsidP="00716F69">
      <w:pPr>
        <w:spacing w:after="0" w:line="276" w:lineRule="auto"/>
        <w:rPr>
          <w:rFonts w:ascii="Arial" w:hAnsi="Arial" w:cs="Arial"/>
          <w:sz w:val="20"/>
          <w:szCs w:val="20"/>
        </w:rPr>
      </w:pPr>
    </w:p>
    <w:p w14:paraId="60A6AE2B" w14:textId="08814DBE" w:rsidR="000833FA" w:rsidRPr="000833FA" w:rsidRDefault="000833FA" w:rsidP="00716F69">
      <w:pPr>
        <w:spacing w:after="0" w:line="276" w:lineRule="auto"/>
        <w:rPr>
          <w:rFonts w:ascii="Arial" w:hAnsi="Arial" w:cs="Arial"/>
          <w:sz w:val="20"/>
          <w:szCs w:val="20"/>
        </w:rPr>
      </w:pPr>
      <w:r w:rsidRPr="000833FA">
        <w:rPr>
          <w:rFonts w:ascii="Arial" w:hAnsi="Arial" w:cs="Arial"/>
          <w:sz w:val="20"/>
          <w:szCs w:val="20"/>
        </w:rPr>
        <w:t xml:space="preserve">Unless </w:t>
      </w:r>
      <w:r w:rsidR="00220CD3">
        <w:rPr>
          <w:rFonts w:ascii="Arial" w:hAnsi="Arial" w:cs="Arial"/>
          <w:sz w:val="20"/>
          <w:szCs w:val="20"/>
        </w:rPr>
        <w:t>this changes</w:t>
      </w:r>
      <w:r w:rsidRPr="000833FA">
        <w:rPr>
          <w:rFonts w:ascii="Arial" w:hAnsi="Arial" w:cs="Arial"/>
          <w:sz w:val="20"/>
          <w:szCs w:val="20"/>
        </w:rPr>
        <w:t xml:space="preserve"> trust in the Public Service will continue to diminish.</w:t>
      </w:r>
    </w:p>
    <w:p w14:paraId="75748D85" w14:textId="77777777" w:rsidR="000833FA" w:rsidRPr="000833FA" w:rsidRDefault="000833FA" w:rsidP="00716F69">
      <w:pPr>
        <w:spacing w:after="0" w:line="276" w:lineRule="auto"/>
        <w:rPr>
          <w:rFonts w:ascii="Arial" w:hAnsi="Arial" w:cs="Arial"/>
          <w:sz w:val="20"/>
          <w:szCs w:val="20"/>
        </w:rPr>
      </w:pPr>
    </w:p>
    <w:p w14:paraId="5134E8FE" w14:textId="4CFF11A3" w:rsidR="000833FA" w:rsidRPr="000833FA" w:rsidRDefault="000833FA" w:rsidP="00716F69">
      <w:pPr>
        <w:spacing w:after="0" w:line="276" w:lineRule="auto"/>
        <w:rPr>
          <w:rFonts w:ascii="Arial" w:hAnsi="Arial" w:cs="Arial"/>
          <w:sz w:val="20"/>
          <w:szCs w:val="20"/>
        </w:rPr>
      </w:pPr>
    </w:p>
    <w:p w14:paraId="75DB436B" w14:textId="77777777" w:rsidR="000833FA" w:rsidRPr="000833FA" w:rsidRDefault="000833FA" w:rsidP="00716F69">
      <w:pPr>
        <w:spacing w:after="0" w:line="276" w:lineRule="auto"/>
        <w:rPr>
          <w:rFonts w:ascii="Arial" w:hAnsi="Arial" w:cs="Arial"/>
          <w:sz w:val="20"/>
          <w:szCs w:val="20"/>
        </w:rPr>
      </w:pPr>
    </w:p>
    <w:p w14:paraId="09A4D422" w14:textId="77777777" w:rsidR="000833FA" w:rsidRPr="000833FA" w:rsidRDefault="000833FA" w:rsidP="00716F69">
      <w:pPr>
        <w:spacing w:after="0" w:line="276" w:lineRule="auto"/>
        <w:rPr>
          <w:rFonts w:ascii="Arial" w:hAnsi="Arial" w:cs="Arial"/>
          <w:sz w:val="20"/>
          <w:szCs w:val="20"/>
        </w:rPr>
      </w:pPr>
    </w:p>
    <w:sectPr w:rsidR="000833FA" w:rsidRPr="000833F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970E5" w14:textId="77777777" w:rsidR="00C134FD" w:rsidRDefault="00C134FD" w:rsidP="00033A94">
      <w:pPr>
        <w:spacing w:after="0" w:line="240" w:lineRule="auto"/>
      </w:pPr>
      <w:r>
        <w:separator/>
      </w:r>
    </w:p>
  </w:endnote>
  <w:endnote w:type="continuationSeparator" w:id="0">
    <w:p w14:paraId="0019724E" w14:textId="77777777" w:rsidR="00C134FD" w:rsidRDefault="00C134FD" w:rsidP="00033A94">
      <w:pPr>
        <w:spacing w:after="0" w:line="240" w:lineRule="auto"/>
      </w:pPr>
      <w:r>
        <w:continuationSeparator/>
      </w:r>
    </w:p>
  </w:endnote>
  <w:endnote w:id="1">
    <w:p w14:paraId="1910F050" w14:textId="4DFAF33E" w:rsidR="002E3691" w:rsidRPr="0053369B" w:rsidRDefault="002E3691" w:rsidP="00DE5B7E">
      <w:pPr>
        <w:pStyle w:val="EndnoteText"/>
        <w:rPr>
          <w:rFonts w:ascii="Arial" w:hAnsi="Arial" w:cs="Arial"/>
          <w:sz w:val="16"/>
          <w:szCs w:val="16"/>
        </w:rPr>
      </w:pPr>
      <w:r w:rsidRPr="00AF1E4B">
        <w:rPr>
          <w:rStyle w:val="EndnoteReference"/>
          <w:rFonts w:ascii="Arial" w:hAnsi="Arial" w:cs="Arial"/>
          <w:sz w:val="16"/>
          <w:szCs w:val="16"/>
        </w:rPr>
        <w:endnoteRef/>
      </w:r>
      <w:r w:rsidRPr="00AF1E4B">
        <w:rPr>
          <w:rFonts w:ascii="Arial" w:hAnsi="Arial" w:cs="Arial"/>
          <w:sz w:val="16"/>
          <w:szCs w:val="16"/>
        </w:rPr>
        <w:t xml:space="preserve"> Peter Gerangelos, </w:t>
      </w:r>
      <w:r w:rsidRPr="00AF1E4B">
        <w:rPr>
          <w:rFonts w:ascii="Arial" w:hAnsi="Arial" w:cs="Arial"/>
          <w:i/>
          <w:sz w:val="16"/>
          <w:szCs w:val="16"/>
        </w:rPr>
        <w:t xml:space="preserve">Section 61 of the Commonwealth Constitution and an "Historical Constitutional Approach": An Excursus on Justice </w:t>
      </w:r>
      <w:r w:rsidRPr="0053369B">
        <w:rPr>
          <w:rFonts w:ascii="Arial" w:hAnsi="Arial" w:cs="Arial"/>
          <w:i/>
          <w:sz w:val="16"/>
          <w:szCs w:val="16"/>
        </w:rPr>
        <w:t>Gageler's Reasoning in the M68 Case,</w:t>
      </w:r>
      <w:r w:rsidRPr="0053369B">
        <w:rPr>
          <w:rFonts w:ascii="Arial" w:hAnsi="Arial" w:cs="Arial"/>
          <w:sz w:val="16"/>
          <w:szCs w:val="16"/>
        </w:rPr>
        <w:t xml:space="preserve"> The University of Sydney Law School, Legal Studies Research Paper Series, No. 17/79, April 2018 </w:t>
      </w:r>
    </w:p>
    <w:p w14:paraId="5B4D0255" w14:textId="65C6CC50" w:rsidR="002E3691" w:rsidRPr="0053369B" w:rsidRDefault="002E3691" w:rsidP="00DE5B7E">
      <w:pPr>
        <w:pStyle w:val="EndnoteText"/>
        <w:rPr>
          <w:rFonts w:ascii="Arial" w:hAnsi="Arial" w:cs="Arial"/>
          <w:sz w:val="16"/>
          <w:szCs w:val="16"/>
        </w:rPr>
      </w:pPr>
    </w:p>
  </w:endnote>
  <w:endnote w:id="2">
    <w:p w14:paraId="1FB8AD8D" w14:textId="72E15C13" w:rsidR="002E3691" w:rsidRPr="0053369B" w:rsidRDefault="002E3691" w:rsidP="00D1774E">
      <w:pPr>
        <w:spacing w:line="240" w:lineRule="auto"/>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w:t>
      </w:r>
      <w:r w:rsidRPr="0053369B">
        <w:rPr>
          <w:rFonts w:ascii="Arial" w:hAnsi="Arial" w:cs="Arial"/>
          <w:sz w:val="16"/>
          <w:szCs w:val="16"/>
          <w:lang w:val="en-US"/>
        </w:rPr>
        <w:t xml:space="preserve">Chief Justice Robert French AC, </w:t>
      </w:r>
      <w:r w:rsidRPr="0053369B">
        <w:rPr>
          <w:rFonts w:ascii="Arial" w:hAnsi="Arial" w:cs="Arial"/>
          <w:i/>
          <w:sz w:val="16"/>
          <w:szCs w:val="16"/>
          <w:lang w:val="en-US"/>
        </w:rPr>
        <w:t xml:space="preserve">If they could see us now — what would the founders say? </w:t>
      </w:r>
      <w:r w:rsidRPr="0053369B">
        <w:rPr>
          <w:rFonts w:ascii="Arial" w:hAnsi="Arial" w:cs="Arial"/>
          <w:sz w:val="16"/>
          <w:szCs w:val="16"/>
          <w:lang w:val="en-US"/>
        </w:rPr>
        <w:t xml:space="preserve">John Curtin Prime Ministerial Library 2013 Anniversary Lecture. </w:t>
      </w:r>
    </w:p>
  </w:endnote>
  <w:endnote w:id="3">
    <w:p w14:paraId="3700600A" w14:textId="2C9F099F" w:rsidR="002E3691" w:rsidRPr="0053369B" w:rsidRDefault="002E3691">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A list of Commonwealth organisations is at: </w:t>
      </w:r>
      <w:hyperlink r:id="rId1" w:history="1">
        <w:r w:rsidRPr="0053369B">
          <w:rPr>
            <w:rStyle w:val="Hyperlink"/>
            <w:rFonts w:ascii="Arial" w:hAnsi="Arial" w:cs="Arial"/>
            <w:sz w:val="16"/>
            <w:szCs w:val="16"/>
          </w:rPr>
          <w:t>https://www.finance.gov.au/sites/default/files/types-of-bodies.pdf?v=1</w:t>
        </w:r>
      </w:hyperlink>
    </w:p>
    <w:p w14:paraId="321BE1B3" w14:textId="77777777" w:rsidR="002E3691" w:rsidRPr="0053369B" w:rsidRDefault="002E3691">
      <w:pPr>
        <w:pStyle w:val="EndnoteText"/>
        <w:rPr>
          <w:rFonts w:ascii="Arial" w:hAnsi="Arial" w:cs="Arial"/>
          <w:sz w:val="16"/>
          <w:szCs w:val="16"/>
        </w:rPr>
      </w:pPr>
    </w:p>
  </w:endnote>
  <w:endnote w:id="4">
    <w:p w14:paraId="280A355F" w14:textId="77777777" w:rsidR="002E3691" w:rsidRPr="0053369B" w:rsidRDefault="002E3691" w:rsidP="004C0115">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While they are ‘independent’ of the Government, in the sense of not being under its direct control, the term is a misnomer.  As discussed later in this note, the correct context of ‘independent’ means from independence from potential beneficiaries rather than the owner or originator of the organisation.</w:t>
      </w:r>
    </w:p>
  </w:endnote>
  <w:endnote w:id="5">
    <w:p w14:paraId="241B299F" w14:textId="77777777" w:rsidR="002E3691" w:rsidRPr="0053369B" w:rsidRDefault="002E3691" w:rsidP="00F0287C">
      <w:pPr>
        <w:pStyle w:val="EndnoteText"/>
        <w:rPr>
          <w:rFonts w:ascii="Arial" w:hAnsi="Arial" w:cs="Arial"/>
          <w:sz w:val="16"/>
          <w:szCs w:val="16"/>
        </w:rPr>
      </w:pPr>
    </w:p>
    <w:p w14:paraId="1375C919" w14:textId="77777777" w:rsidR="002E3691" w:rsidRPr="0053369B" w:rsidRDefault="002E3691" w:rsidP="00F0287C">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Examples: those which provide advice – the Productivity Commission; those which provide public services – the Australian Broadcasting Commission; those which trade – the Australian Rail Track Corporation.  </w:t>
      </w:r>
    </w:p>
    <w:p w14:paraId="3ED06554" w14:textId="6BBED81D" w:rsidR="002E3691" w:rsidRPr="0053369B" w:rsidRDefault="002E3691" w:rsidP="00F0287C">
      <w:pPr>
        <w:pStyle w:val="EndnoteText"/>
        <w:rPr>
          <w:rFonts w:ascii="Arial" w:hAnsi="Arial" w:cs="Arial"/>
          <w:sz w:val="16"/>
          <w:szCs w:val="16"/>
        </w:rPr>
      </w:pPr>
      <w:r w:rsidRPr="0053369B">
        <w:rPr>
          <w:rFonts w:ascii="Arial" w:hAnsi="Arial" w:cs="Arial"/>
          <w:sz w:val="16"/>
          <w:szCs w:val="16"/>
        </w:rPr>
        <w:t>Those which trade conform with the Competition Principles Agreement (1993) in respect of removal of the shield of the Crown, competitive neutrality and application of the Australian Competition and Consumers Act (xx)</w:t>
      </w:r>
    </w:p>
    <w:p w14:paraId="51EF97AD" w14:textId="1302E183" w:rsidR="002E3691" w:rsidRPr="0053369B" w:rsidRDefault="002E3691" w:rsidP="00F0287C">
      <w:pPr>
        <w:pStyle w:val="EndnoteText"/>
        <w:rPr>
          <w:rFonts w:ascii="Arial" w:hAnsi="Arial" w:cs="Arial"/>
          <w:sz w:val="16"/>
          <w:szCs w:val="16"/>
        </w:rPr>
      </w:pPr>
    </w:p>
  </w:endnote>
  <w:endnote w:id="6">
    <w:p w14:paraId="6F9AB145" w14:textId="598D98A3" w:rsidR="002E3691" w:rsidRPr="0053369B" w:rsidRDefault="002E3691" w:rsidP="00F0287C">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Public Service Act (1999).</w:t>
      </w:r>
    </w:p>
    <w:p w14:paraId="2825910A" w14:textId="77777777" w:rsidR="002E3691" w:rsidRPr="0053369B" w:rsidRDefault="002E3691" w:rsidP="00F0287C">
      <w:pPr>
        <w:pStyle w:val="EndnoteText"/>
        <w:rPr>
          <w:rFonts w:ascii="Arial" w:hAnsi="Arial" w:cs="Arial"/>
          <w:sz w:val="16"/>
          <w:szCs w:val="16"/>
        </w:rPr>
      </w:pPr>
    </w:p>
  </w:endnote>
  <w:endnote w:id="7">
    <w:p w14:paraId="7D87EA9F" w14:textId="3B878A42" w:rsidR="002E3691" w:rsidRPr="0053369B" w:rsidRDefault="002E3691">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w:t>
      </w:r>
      <w:r>
        <w:rPr>
          <w:rFonts w:ascii="Arial" w:hAnsi="Arial" w:cs="Arial"/>
          <w:sz w:val="16"/>
          <w:szCs w:val="16"/>
        </w:rPr>
        <w:t xml:space="preserve">For example, APS Review, </w:t>
      </w:r>
      <w:r w:rsidRPr="00B3216A">
        <w:rPr>
          <w:rFonts w:ascii="Arial" w:hAnsi="Arial" w:cs="Arial"/>
          <w:i/>
          <w:sz w:val="16"/>
          <w:szCs w:val="16"/>
        </w:rPr>
        <w:t>Priorities for change</w:t>
      </w:r>
      <w:r>
        <w:rPr>
          <w:rFonts w:ascii="Arial" w:hAnsi="Arial" w:cs="Arial"/>
          <w:sz w:val="16"/>
          <w:szCs w:val="16"/>
        </w:rPr>
        <w:t>, 19 March 2019, p.19.</w:t>
      </w:r>
    </w:p>
    <w:p w14:paraId="5F984823" w14:textId="77777777" w:rsidR="002E3691" w:rsidRPr="0053369B" w:rsidRDefault="002E3691">
      <w:pPr>
        <w:pStyle w:val="EndnoteText"/>
        <w:rPr>
          <w:rFonts w:ascii="Arial" w:hAnsi="Arial" w:cs="Arial"/>
          <w:sz w:val="16"/>
          <w:szCs w:val="16"/>
        </w:rPr>
      </w:pPr>
    </w:p>
  </w:endnote>
  <w:endnote w:id="8">
    <w:p w14:paraId="4DD61AA5" w14:textId="77777777" w:rsidR="002E3691" w:rsidRPr="0053369B" w:rsidRDefault="002E3691" w:rsidP="00BB6FBF">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Pape v Federal Commissioner of Taxation (2009) 238 CLR 1; </w:t>
      </w:r>
    </w:p>
    <w:p w14:paraId="1F65A18A" w14:textId="18F2E428" w:rsidR="002E3691" w:rsidRPr="0053369B" w:rsidRDefault="002E3691" w:rsidP="00BB6FBF">
      <w:pPr>
        <w:pStyle w:val="EndnoteText"/>
        <w:rPr>
          <w:rFonts w:ascii="Arial" w:hAnsi="Arial" w:cs="Arial"/>
          <w:sz w:val="16"/>
          <w:szCs w:val="16"/>
        </w:rPr>
      </w:pPr>
      <w:r w:rsidRPr="0053369B">
        <w:rPr>
          <w:rFonts w:ascii="Arial" w:hAnsi="Arial" w:cs="Arial"/>
          <w:sz w:val="16"/>
          <w:szCs w:val="16"/>
        </w:rPr>
        <w:t xml:space="preserve">Williams v Commonwealth (No 1) (2012) 248 CLR 156; </w:t>
      </w:r>
    </w:p>
    <w:p w14:paraId="19495B6C" w14:textId="29C90230" w:rsidR="002E3691" w:rsidRPr="0053369B" w:rsidRDefault="002E3691" w:rsidP="00BB6FBF">
      <w:pPr>
        <w:pStyle w:val="EndnoteText"/>
        <w:rPr>
          <w:rFonts w:ascii="Arial" w:hAnsi="Arial" w:cs="Arial"/>
          <w:sz w:val="16"/>
          <w:szCs w:val="16"/>
        </w:rPr>
      </w:pPr>
      <w:r w:rsidRPr="0053369B">
        <w:rPr>
          <w:rFonts w:ascii="Arial" w:hAnsi="Arial" w:cs="Arial"/>
          <w:sz w:val="16"/>
          <w:szCs w:val="16"/>
        </w:rPr>
        <w:t xml:space="preserve">Williams v Commonwealth (No 2) (2014) 252 CLR 416.  </w:t>
      </w:r>
    </w:p>
    <w:p w14:paraId="1C8F93B6" w14:textId="2E450797" w:rsidR="002E3691" w:rsidRPr="0053369B" w:rsidRDefault="002E3691" w:rsidP="00BB6FBF">
      <w:pPr>
        <w:pStyle w:val="EndnoteText"/>
        <w:rPr>
          <w:rFonts w:ascii="Arial" w:hAnsi="Arial" w:cs="Arial"/>
          <w:sz w:val="16"/>
          <w:szCs w:val="16"/>
        </w:rPr>
      </w:pPr>
    </w:p>
  </w:endnote>
  <w:endnote w:id="9">
    <w:p w14:paraId="742F1D33" w14:textId="249BDA86" w:rsidR="002E3691" w:rsidRPr="0053369B" w:rsidRDefault="002E3691" w:rsidP="00E30A81">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Anne Twomey, </w:t>
      </w:r>
      <w:r w:rsidRPr="0053369B">
        <w:rPr>
          <w:rFonts w:ascii="Arial" w:hAnsi="Arial" w:cs="Arial"/>
          <w:i/>
          <w:sz w:val="16"/>
          <w:szCs w:val="16"/>
        </w:rPr>
        <w:t>Public Money Federal-State Financial Relations and the Constitutional Limits on Spending</w:t>
      </w:r>
      <w:r w:rsidRPr="0053369B">
        <w:rPr>
          <w:rFonts w:ascii="Arial" w:hAnsi="Arial" w:cs="Arial"/>
          <w:sz w:val="16"/>
          <w:szCs w:val="16"/>
        </w:rPr>
        <w:t xml:space="preserve">, Constitutional Reform Unit, Sydney Law School, Report No 4, 2014 </w:t>
      </w:r>
    </w:p>
    <w:p w14:paraId="777450EF" w14:textId="604DFB26" w:rsidR="002E3691" w:rsidRPr="0053369B" w:rsidRDefault="002E3691" w:rsidP="00F0287C">
      <w:pPr>
        <w:pStyle w:val="EndnoteText"/>
        <w:rPr>
          <w:rFonts w:ascii="Arial" w:hAnsi="Arial" w:cs="Arial"/>
          <w:sz w:val="16"/>
          <w:szCs w:val="16"/>
        </w:rPr>
      </w:pPr>
      <w:r w:rsidRPr="0053369B">
        <w:rPr>
          <w:rFonts w:ascii="Arial" w:hAnsi="Arial" w:cs="Arial"/>
          <w:sz w:val="16"/>
          <w:szCs w:val="16"/>
        </w:rPr>
        <w:t xml:space="preserve"> </w:t>
      </w:r>
    </w:p>
  </w:endnote>
  <w:endnote w:id="10">
    <w:p w14:paraId="56AC66F9" w14:textId="620BBE88" w:rsidR="002E3691" w:rsidRPr="0053369B" w:rsidRDefault="002E3691">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The vertical fiscal imbalance arises because the Commonwealth raises more revenue than it spends on its own account, while the States raise less.  This ‘necessitates’ financial transfers from the Commonwealth to the States.  The two primary transfer mechanisms are: untied grants, payments without conditions; tied grants, conditional or specific purpose payments.  Constitutional origins are explored in note ii (above).</w:t>
      </w:r>
    </w:p>
    <w:p w14:paraId="0EC96079" w14:textId="77777777" w:rsidR="002E3691" w:rsidRPr="0053369B" w:rsidRDefault="002E3691">
      <w:pPr>
        <w:pStyle w:val="EndnoteText"/>
        <w:rPr>
          <w:rFonts w:ascii="Arial" w:hAnsi="Arial" w:cs="Arial"/>
          <w:sz w:val="16"/>
          <w:szCs w:val="16"/>
        </w:rPr>
      </w:pPr>
    </w:p>
  </w:endnote>
  <w:endnote w:id="11">
    <w:p w14:paraId="72F2D55E" w14:textId="4F78A3A7" w:rsidR="002E3691" w:rsidRPr="0053369B" w:rsidRDefault="002E3691" w:rsidP="005E7111">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Concluded in Williams (No 2) – see note ix (above).</w:t>
      </w:r>
    </w:p>
  </w:endnote>
  <w:endnote w:id="12">
    <w:p w14:paraId="5E8B2A5E" w14:textId="50B66761" w:rsidR="002E3691" w:rsidRPr="0053369B" w:rsidRDefault="002E3691" w:rsidP="00E427CF">
      <w:pPr>
        <w:spacing w:before="100" w:beforeAutospacing="1" w:after="100" w:afterAutospacing="1" w:line="240" w:lineRule="auto"/>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Constitution s.96…. ‘</w:t>
      </w:r>
      <w:r w:rsidRPr="0053369B">
        <w:rPr>
          <w:rFonts w:ascii="Arial" w:eastAsia="Times New Roman" w:hAnsi="Arial" w:cs="Arial"/>
          <w:i/>
          <w:color w:val="000000"/>
          <w:sz w:val="16"/>
          <w:szCs w:val="16"/>
          <w:lang w:eastAsia="en-AU"/>
        </w:rPr>
        <w:t>the Parliament may grant financial assistance to any State on such terms and conditions as the Parliament thinks fit’.</w:t>
      </w:r>
    </w:p>
  </w:endnote>
  <w:endnote w:id="13">
    <w:p w14:paraId="5DB6DC74" w14:textId="725A60EE" w:rsidR="002E3691" w:rsidRPr="0053369B" w:rsidRDefault="002E3691" w:rsidP="00E427CF">
      <w:pPr>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Shirpa </w:t>
      </w:r>
      <w:r w:rsidRPr="0053369B">
        <w:rPr>
          <w:rFonts w:ascii="Arial" w:hAnsi="Arial" w:cs="Arial"/>
          <w:sz w:val="16"/>
          <w:szCs w:val="16"/>
          <w:lang w:eastAsia="en-AU"/>
        </w:rPr>
        <w:t xml:space="preserve">Chordia, </w:t>
      </w:r>
      <w:r w:rsidRPr="0053369B">
        <w:rPr>
          <w:rFonts w:ascii="Arial" w:hAnsi="Arial" w:cs="Arial"/>
          <w:i/>
          <w:sz w:val="16"/>
          <w:szCs w:val="16"/>
          <w:lang w:eastAsia="en-AU"/>
        </w:rPr>
        <w:t>Section 96 of the Constitution: Developments in Methodology and Interpretation,</w:t>
      </w:r>
      <w:r w:rsidRPr="0053369B">
        <w:rPr>
          <w:rFonts w:ascii="Arial" w:hAnsi="Arial" w:cs="Arial"/>
          <w:sz w:val="16"/>
          <w:szCs w:val="16"/>
          <w:lang w:eastAsia="en-AU"/>
        </w:rPr>
        <w:t xml:space="preserve"> [2015] University of Tasmania Law Review 54.</w:t>
      </w:r>
    </w:p>
  </w:endnote>
  <w:endnote w:id="14">
    <w:p w14:paraId="43012CA7" w14:textId="02CD07A5" w:rsidR="002E3691" w:rsidRDefault="002E3691" w:rsidP="00F0287C">
      <w:pPr>
        <w:pStyle w:val="EndnoteText"/>
        <w:rPr>
          <w:rFonts w:ascii="Arial" w:hAnsi="Arial" w:cs="Arial"/>
          <w:sz w:val="16"/>
          <w:szCs w:val="16"/>
        </w:rPr>
      </w:pPr>
      <w:r w:rsidRPr="0053369B">
        <w:rPr>
          <w:rStyle w:val="EndnoteReference"/>
          <w:rFonts w:ascii="Arial" w:hAnsi="Arial" w:cs="Arial"/>
          <w:sz w:val="16"/>
          <w:szCs w:val="16"/>
        </w:rPr>
        <w:endnoteRef/>
      </w:r>
      <w:r>
        <w:rPr>
          <w:rFonts w:ascii="Arial" w:hAnsi="Arial" w:cs="Arial"/>
          <w:sz w:val="16"/>
          <w:szCs w:val="16"/>
        </w:rPr>
        <w:t xml:space="preserve"> </w:t>
      </w:r>
      <w:r w:rsidRPr="0053369B">
        <w:rPr>
          <w:rFonts w:ascii="Arial" w:hAnsi="Arial" w:cs="Arial"/>
          <w:sz w:val="16"/>
          <w:szCs w:val="16"/>
        </w:rPr>
        <w:t>Williams (No 2) see note viii (above)</w:t>
      </w:r>
      <w:r>
        <w:rPr>
          <w:rFonts w:ascii="Arial" w:hAnsi="Arial" w:cs="Arial"/>
          <w:sz w:val="16"/>
          <w:szCs w:val="16"/>
        </w:rPr>
        <w:t xml:space="preserve">, per </w:t>
      </w:r>
      <w:r w:rsidRPr="00DF40BF">
        <w:rPr>
          <w:rFonts w:ascii="Arial" w:hAnsi="Arial" w:cs="Arial"/>
          <w:sz w:val="16"/>
          <w:szCs w:val="16"/>
        </w:rPr>
        <w:t>F</w:t>
      </w:r>
      <w:r>
        <w:rPr>
          <w:rFonts w:ascii="Arial" w:hAnsi="Arial" w:cs="Arial"/>
          <w:sz w:val="16"/>
          <w:szCs w:val="16"/>
        </w:rPr>
        <w:t>rench</w:t>
      </w:r>
      <w:r w:rsidRPr="00DF40BF">
        <w:rPr>
          <w:rFonts w:ascii="Arial" w:hAnsi="Arial" w:cs="Arial"/>
          <w:sz w:val="16"/>
          <w:szCs w:val="16"/>
        </w:rPr>
        <w:t xml:space="preserve"> CJ, H</w:t>
      </w:r>
      <w:r>
        <w:rPr>
          <w:rFonts w:ascii="Arial" w:hAnsi="Arial" w:cs="Arial"/>
          <w:sz w:val="16"/>
          <w:szCs w:val="16"/>
        </w:rPr>
        <w:t>ayne,</w:t>
      </w:r>
      <w:r w:rsidRPr="00DF40BF">
        <w:rPr>
          <w:rFonts w:ascii="Arial" w:hAnsi="Arial" w:cs="Arial"/>
          <w:sz w:val="16"/>
          <w:szCs w:val="16"/>
        </w:rPr>
        <w:t xml:space="preserve"> K</w:t>
      </w:r>
      <w:r>
        <w:rPr>
          <w:rFonts w:ascii="Arial" w:hAnsi="Arial" w:cs="Arial"/>
          <w:sz w:val="16"/>
          <w:szCs w:val="16"/>
        </w:rPr>
        <w:t>iefel</w:t>
      </w:r>
      <w:r w:rsidRPr="00DF40BF">
        <w:rPr>
          <w:rFonts w:ascii="Arial" w:hAnsi="Arial" w:cs="Arial"/>
          <w:sz w:val="16"/>
          <w:szCs w:val="16"/>
        </w:rPr>
        <w:t>, B</w:t>
      </w:r>
      <w:r>
        <w:rPr>
          <w:rFonts w:ascii="Arial" w:hAnsi="Arial" w:cs="Arial"/>
          <w:sz w:val="16"/>
          <w:szCs w:val="16"/>
        </w:rPr>
        <w:t>ell</w:t>
      </w:r>
      <w:r w:rsidRPr="00DF40BF">
        <w:rPr>
          <w:rFonts w:ascii="Arial" w:hAnsi="Arial" w:cs="Arial"/>
          <w:sz w:val="16"/>
          <w:szCs w:val="16"/>
        </w:rPr>
        <w:t xml:space="preserve"> </w:t>
      </w:r>
      <w:r>
        <w:rPr>
          <w:rFonts w:ascii="Arial" w:hAnsi="Arial" w:cs="Arial"/>
          <w:sz w:val="16"/>
          <w:szCs w:val="16"/>
        </w:rPr>
        <w:t>and</w:t>
      </w:r>
      <w:r w:rsidRPr="00DF40BF">
        <w:rPr>
          <w:rFonts w:ascii="Arial" w:hAnsi="Arial" w:cs="Arial"/>
          <w:sz w:val="16"/>
          <w:szCs w:val="16"/>
        </w:rPr>
        <w:t xml:space="preserve"> K</w:t>
      </w:r>
      <w:r>
        <w:rPr>
          <w:rFonts w:ascii="Arial" w:hAnsi="Arial" w:cs="Arial"/>
          <w:sz w:val="16"/>
          <w:szCs w:val="16"/>
        </w:rPr>
        <w:t>eane</w:t>
      </w:r>
      <w:r w:rsidRPr="00DF40BF">
        <w:rPr>
          <w:rFonts w:ascii="Arial" w:hAnsi="Arial" w:cs="Arial"/>
          <w:sz w:val="16"/>
          <w:szCs w:val="16"/>
        </w:rPr>
        <w:t xml:space="preserve"> JJ</w:t>
      </w:r>
      <w:r>
        <w:rPr>
          <w:rFonts w:ascii="Arial" w:hAnsi="Arial" w:cs="Arial"/>
          <w:sz w:val="16"/>
          <w:szCs w:val="16"/>
        </w:rPr>
        <w:t>:</w:t>
      </w:r>
      <w:r w:rsidRPr="00DF40BF">
        <w:rPr>
          <w:rFonts w:ascii="Arial" w:hAnsi="Arial" w:cs="Arial"/>
          <w:sz w:val="16"/>
          <w:szCs w:val="16"/>
        </w:rPr>
        <w:t>.</w:t>
      </w:r>
    </w:p>
    <w:p w14:paraId="1F1428CB" w14:textId="5E412BF2" w:rsidR="002E3691" w:rsidRDefault="002E3691" w:rsidP="00DF40BF">
      <w:pPr>
        <w:pStyle w:val="EndnoteText"/>
        <w:ind w:left="720"/>
        <w:rPr>
          <w:rFonts w:ascii="Arial" w:hAnsi="Arial" w:cs="Arial"/>
          <w:sz w:val="16"/>
          <w:szCs w:val="16"/>
        </w:rPr>
      </w:pPr>
      <w:r>
        <w:rPr>
          <w:rFonts w:ascii="Arial" w:hAnsi="Arial" w:cs="Arial"/>
          <w:sz w:val="16"/>
          <w:szCs w:val="16"/>
        </w:rPr>
        <w:t>‘</w:t>
      </w:r>
      <w:r w:rsidRPr="00DF40BF">
        <w:rPr>
          <w:rFonts w:ascii="Arial" w:hAnsi="Arial" w:cs="Arial"/>
          <w:i/>
          <w:sz w:val="16"/>
          <w:szCs w:val="16"/>
        </w:rPr>
        <w:t>Consultation between the Commonwealth and States coupled with silent, even expressed, acquiescence by the States does not supply otherwise absent constitutional power to the Commonwealth.  The Constitution contains several provisions by which the States and the Commonwealth may join in achieving common ends.  It is enough to mention only s 51(xxxvii) (about referral of powers) and s 96 (about grants on condition)</w:t>
      </w:r>
      <w:r w:rsidRPr="00DF40BF">
        <w:rPr>
          <w:rFonts w:ascii="Arial" w:hAnsi="Arial" w:cs="Arial"/>
          <w:sz w:val="16"/>
          <w:szCs w:val="16"/>
        </w:rPr>
        <w:t>.</w:t>
      </w:r>
      <w:r>
        <w:rPr>
          <w:rFonts w:ascii="Arial" w:hAnsi="Arial" w:cs="Arial"/>
          <w:sz w:val="16"/>
          <w:szCs w:val="16"/>
        </w:rPr>
        <w:t>’</w:t>
      </w:r>
      <w:r w:rsidRPr="00DF40BF">
        <w:rPr>
          <w:rFonts w:ascii="Arial" w:hAnsi="Arial" w:cs="Arial"/>
          <w:sz w:val="16"/>
          <w:szCs w:val="16"/>
        </w:rPr>
        <w:t xml:space="preserve"> </w:t>
      </w:r>
      <w:r w:rsidRPr="0053369B">
        <w:rPr>
          <w:rFonts w:ascii="Arial" w:hAnsi="Arial" w:cs="Arial"/>
          <w:sz w:val="16"/>
          <w:szCs w:val="16"/>
        </w:rPr>
        <w:t xml:space="preserve"> </w:t>
      </w:r>
    </w:p>
    <w:p w14:paraId="21580588" w14:textId="77777777" w:rsidR="002E3691" w:rsidRPr="0053369B" w:rsidRDefault="002E3691" w:rsidP="00F0287C">
      <w:pPr>
        <w:pStyle w:val="EndnoteText"/>
        <w:rPr>
          <w:rFonts w:ascii="Arial" w:hAnsi="Arial" w:cs="Arial"/>
          <w:sz w:val="16"/>
          <w:szCs w:val="16"/>
        </w:rPr>
      </w:pPr>
    </w:p>
  </w:endnote>
  <w:endnote w:id="15">
    <w:p w14:paraId="20934AD1" w14:textId="68BB98B7" w:rsidR="002E3691" w:rsidRPr="0053369B" w:rsidRDefault="002E3691">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Ben Rimmer, Cheryl Saunders, Michael Crommelin, </w:t>
      </w:r>
      <w:r w:rsidRPr="0053369B">
        <w:rPr>
          <w:rFonts w:ascii="Arial" w:hAnsi="Arial" w:cs="Arial"/>
          <w:i/>
          <w:sz w:val="16"/>
          <w:szCs w:val="16"/>
        </w:rPr>
        <w:t>Working better with other jurisdictions</w:t>
      </w:r>
      <w:r w:rsidRPr="0053369B">
        <w:rPr>
          <w:rFonts w:ascii="Arial" w:hAnsi="Arial" w:cs="Arial"/>
          <w:sz w:val="16"/>
          <w:szCs w:val="16"/>
        </w:rPr>
        <w:t>, An ANZSOG research paper for the Australian Public Service Review Panel, March 2019.</w:t>
      </w:r>
    </w:p>
    <w:p w14:paraId="383C560B" w14:textId="77777777" w:rsidR="002E3691" w:rsidRPr="0053369B" w:rsidRDefault="002E3691">
      <w:pPr>
        <w:pStyle w:val="EndnoteText"/>
        <w:rPr>
          <w:rFonts w:ascii="Arial" w:hAnsi="Arial" w:cs="Arial"/>
          <w:sz w:val="16"/>
          <w:szCs w:val="16"/>
        </w:rPr>
      </w:pPr>
    </w:p>
  </w:endnote>
  <w:endnote w:id="16">
    <w:p w14:paraId="38D7E245" w14:textId="77777777" w:rsidR="002E3691" w:rsidRPr="0053369B" w:rsidRDefault="002E3691">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The proposed Federal Relations Secretariat; at page 29 (note xv above).</w:t>
      </w:r>
    </w:p>
    <w:p w14:paraId="508719F5" w14:textId="6C622C40" w:rsidR="002E3691" w:rsidRPr="0053369B" w:rsidRDefault="002E3691">
      <w:pPr>
        <w:pStyle w:val="EndnoteText"/>
        <w:rPr>
          <w:rFonts w:ascii="Arial" w:hAnsi="Arial" w:cs="Arial"/>
          <w:sz w:val="16"/>
          <w:szCs w:val="16"/>
        </w:rPr>
      </w:pPr>
      <w:r w:rsidRPr="0053369B">
        <w:rPr>
          <w:rFonts w:ascii="Arial" w:hAnsi="Arial" w:cs="Arial"/>
          <w:sz w:val="16"/>
          <w:szCs w:val="16"/>
        </w:rPr>
        <w:t>It would be a mistake for this to be overseen by Senior Officers, since the Commonwealth officer must represent the Government, rather than act ‘nationally’.  This is more than just a theoretical observation; the same approach has been attempted on several occasions in the transport portfolio – for example the National Transport Secretariat - and each time has failed. In my view failure has been due to Commonwealth interference, for example restricting the matters that could be considered by the Secretariat. See notes xvii and xxxiv (below).</w:t>
      </w:r>
    </w:p>
    <w:p w14:paraId="3FBD6211" w14:textId="77777777" w:rsidR="002E3691" w:rsidRPr="0053369B" w:rsidRDefault="002E3691">
      <w:pPr>
        <w:pStyle w:val="EndnoteText"/>
        <w:rPr>
          <w:rFonts w:ascii="Arial" w:hAnsi="Arial" w:cs="Arial"/>
          <w:sz w:val="16"/>
          <w:szCs w:val="16"/>
        </w:rPr>
      </w:pPr>
    </w:p>
  </w:endnote>
  <w:endnote w:id="17">
    <w:p w14:paraId="004777AC" w14:textId="458BAE92" w:rsidR="002E3691" w:rsidRPr="0053369B" w:rsidRDefault="002E3691">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An example of this process, national rail policy, is described </w:t>
      </w:r>
      <w:hyperlink r:id="rId2" w:history="1">
        <w:r w:rsidRPr="0053369B">
          <w:rPr>
            <w:rStyle w:val="Hyperlink"/>
            <w:rFonts w:ascii="Arial" w:hAnsi="Arial" w:cs="Arial"/>
            <w:sz w:val="16"/>
            <w:szCs w:val="16"/>
          </w:rPr>
          <w:t>https://www.thejadebeagle.com/austral-obscura-2.html</w:t>
        </w:r>
      </w:hyperlink>
    </w:p>
    <w:p w14:paraId="56F9F50F" w14:textId="77777777" w:rsidR="002E3691" w:rsidRPr="0053369B" w:rsidRDefault="002E3691">
      <w:pPr>
        <w:pStyle w:val="EndnoteText"/>
        <w:rPr>
          <w:rFonts w:ascii="Arial" w:hAnsi="Arial" w:cs="Arial"/>
          <w:sz w:val="16"/>
          <w:szCs w:val="16"/>
        </w:rPr>
      </w:pPr>
    </w:p>
  </w:endnote>
  <w:endnote w:id="18">
    <w:p w14:paraId="251B0923" w14:textId="1AB4F05B" w:rsidR="002E3691" w:rsidRPr="0053369B" w:rsidRDefault="002E3691" w:rsidP="00F0287C">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Grants commission: </w:t>
      </w:r>
      <w:hyperlink r:id="rId3" w:history="1">
        <w:r w:rsidRPr="0053369B">
          <w:rPr>
            <w:rStyle w:val="Hyperlink"/>
            <w:rFonts w:ascii="Arial" w:hAnsi="Arial" w:cs="Arial"/>
            <w:sz w:val="16"/>
            <w:szCs w:val="16"/>
          </w:rPr>
          <w:t>https://www.cgc.gov.au/</w:t>
        </w:r>
      </w:hyperlink>
    </w:p>
    <w:p w14:paraId="0215104F" w14:textId="2B0F6BA2" w:rsidR="002E3691" w:rsidRPr="0053369B" w:rsidRDefault="002E3691" w:rsidP="00F0287C">
      <w:pPr>
        <w:pStyle w:val="EndnoteText"/>
        <w:rPr>
          <w:rFonts w:ascii="Arial" w:hAnsi="Arial" w:cs="Arial"/>
          <w:sz w:val="16"/>
          <w:szCs w:val="16"/>
        </w:rPr>
      </w:pPr>
    </w:p>
  </w:endnote>
  <w:endnote w:id="19">
    <w:p w14:paraId="2D8F96E5" w14:textId="77777777" w:rsidR="002E3691" w:rsidRPr="0053369B" w:rsidRDefault="002E3691" w:rsidP="002E28ED">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Williams (No 2) see note viii (above).</w:t>
      </w:r>
    </w:p>
    <w:p w14:paraId="0E49A7EB" w14:textId="0B3FE70D" w:rsidR="002E3691" w:rsidRPr="0053369B" w:rsidRDefault="002E3691">
      <w:pPr>
        <w:pStyle w:val="EndnoteText"/>
        <w:rPr>
          <w:rFonts w:ascii="Arial" w:hAnsi="Arial" w:cs="Arial"/>
          <w:sz w:val="16"/>
          <w:szCs w:val="16"/>
        </w:rPr>
      </w:pPr>
    </w:p>
  </w:endnote>
  <w:endnote w:id="20">
    <w:p w14:paraId="599BC80F" w14:textId="463588B8" w:rsidR="002E3691" w:rsidRPr="0053369B" w:rsidRDefault="002E3691">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See note i (above).</w:t>
      </w:r>
    </w:p>
    <w:p w14:paraId="104C361F" w14:textId="77777777" w:rsidR="002E3691" w:rsidRPr="0053369B" w:rsidRDefault="002E3691">
      <w:pPr>
        <w:pStyle w:val="EndnoteText"/>
        <w:rPr>
          <w:rFonts w:ascii="Arial" w:hAnsi="Arial" w:cs="Arial"/>
          <w:sz w:val="16"/>
          <w:szCs w:val="16"/>
        </w:rPr>
      </w:pPr>
    </w:p>
  </w:endnote>
  <w:endnote w:id="21">
    <w:p w14:paraId="77B65654" w14:textId="60B8124E" w:rsidR="002E3691" w:rsidRPr="0053369B" w:rsidRDefault="002E3691" w:rsidP="000833FA">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This draws on articles in </w:t>
      </w:r>
      <w:hyperlink r:id="rId4" w:history="1">
        <w:r w:rsidRPr="0053369B">
          <w:rPr>
            <w:rStyle w:val="Hyperlink"/>
            <w:rFonts w:ascii="Arial" w:hAnsi="Arial" w:cs="Arial"/>
            <w:sz w:val="16"/>
            <w:szCs w:val="16"/>
          </w:rPr>
          <w:t>https://www.thejadebeagle.com/federal-state-relations.html</w:t>
        </w:r>
      </w:hyperlink>
      <w:r w:rsidRPr="0053369B">
        <w:rPr>
          <w:rFonts w:ascii="Arial" w:hAnsi="Arial" w:cs="Arial"/>
          <w:sz w:val="16"/>
          <w:szCs w:val="16"/>
        </w:rPr>
        <w:t>.</w:t>
      </w:r>
    </w:p>
    <w:p w14:paraId="623029DD" w14:textId="77777777" w:rsidR="002E3691" w:rsidRPr="0053369B" w:rsidRDefault="002E3691" w:rsidP="000833FA">
      <w:pPr>
        <w:pStyle w:val="EndnoteText"/>
        <w:rPr>
          <w:rFonts w:ascii="Arial" w:hAnsi="Arial" w:cs="Arial"/>
          <w:sz w:val="16"/>
          <w:szCs w:val="16"/>
        </w:rPr>
      </w:pPr>
    </w:p>
  </w:endnote>
  <w:endnote w:id="22">
    <w:p w14:paraId="71B97962" w14:textId="79898869" w:rsidR="002E3691" w:rsidRPr="0053369B" w:rsidRDefault="002E3691">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See note vi (above).</w:t>
      </w:r>
    </w:p>
    <w:p w14:paraId="2C431BF5" w14:textId="77777777" w:rsidR="002E3691" w:rsidRPr="0053369B" w:rsidRDefault="002E3691">
      <w:pPr>
        <w:pStyle w:val="EndnoteText"/>
        <w:rPr>
          <w:rFonts w:ascii="Arial" w:hAnsi="Arial" w:cs="Arial"/>
          <w:sz w:val="16"/>
          <w:szCs w:val="16"/>
        </w:rPr>
      </w:pPr>
    </w:p>
  </w:endnote>
  <w:endnote w:id="23">
    <w:p w14:paraId="21BB20E5" w14:textId="46FF665A" w:rsidR="002E3691" w:rsidRPr="0053369B" w:rsidRDefault="002E3691">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Governance guidelines at </w:t>
      </w:r>
      <w:hyperlink r:id="rId5" w:history="1">
        <w:r w:rsidRPr="0053369B">
          <w:rPr>
            <w:rStyle w:val="Hyperlink"/>
            <w:rFonts w:ascii="Arial" w:hAnsi="Arial" w:cs="Arial"/>
            <w:sz w:val="16"/>
            <w:szCs w:val="16"/>
          </w:rPr>
          <w:t>https://www.finance.gov.au/resource-management/governance/overview/</w:t>
        </w:r>
      </w:hyperlink>
    </w:p>
    <w:p w14:paraId="1E5D206A" w14:textId="77777777" w:rsidR="002E3691" w:rsidRPr="0053369B" w:rsidRDefault="002E3691">
      <w:pPr>
        <w:pStyle w:val="EndnoteText"/>
        <w:rPr>
          <w:rFonts w:ascii="Arial" w:hAnsi="Arial" w:cs="Arial"/>
          <w:sz w:val="16"/>
          <w:szCs w:val="16"/>
        </w:rPr>
      </w:pPr>
    </w:p>
  </w:endnote>
  <w:endnote w:id="24">
    <w:p w14:paraId="10FC51BA" w14:textId="067021A2" w:rsidR="002E3691" w:rsidRPr="0053369B" w:rsidRDefault="002E3691">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Limits to the scope of the organisations are set out in the Competition Principles Agreement (1995).</w:t>
      </w:r>
    </w:p>
    <w:p w14:paraId="4638E900" w14:textId="77777777" w:rsidR="002E3691" w:rsidRPr="0053369B" w:rsidRDefault="002E3691">
      <w:pPr>
        <w:pStyle w:val="EndnoteText"/>
        <w:rPr>
          <w:rFonts w:ascii="Arial" w:hAnsi="Arial" w:cs="Arial"/>
          <w:sz w:val="16"/>
          <w:szCs w:val="16"/>
        </w:rPr>
      </w:pPr>
    </w:p>
  </w:endnote>
  <w:endnote w:id="25">
    <w:p w14:paraId="05E18142" w14:textId="65021270" w:rsidR="002E3691" w:rsidRPr="0053369B" w:rsidRDefault="002E3691" w:rsidP="00A01F37">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w:t>
      </w:r>
      <w:r>
        <w:rPr>
          <w:rFonts w:ascii="Arial" w:hAnsi="Arial" w:cs="Arial"/>
          <w:sz w:val="16"/>
          <w:szCs w:val="16"/>
        </w:rPr>
        <w:t>See note xxiii (above).</w:t>
      </w:r>
    </w:p>
  </w:endnote>
  <w:endnote w:id="26">
    <w:p w14:paraId="2EE32302" w14:textId="77777777" w:rsidR="002E3691" w:rsidRPr="0053369B" w:rsidRDefault="002E3691" w:rsidP="000833FA">
      <w:pPr>
        <w:pStyle w:val="EndnoteText"/>
        <w:rPr>
          <w:rFonts w:ascii="Arial" w:hAnsi="Arial" w:cs="Arial"/>
          <w:sz w:val="16"/>
          <w:szCs w:val="16"/>
        </w:rPr>
      </w:pPr>
    </w:p>
    <w:p w14:paraId="291ADB77" w14:textId="61FC9D69" w:rsidR="002E3691" w:rsidRPr="0053369B" w:rsidRDefault="002E3691" w:rsidP="000833FA">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Outlined in the Productivity Commission series Financial Performance of Government Trading Enterprises eg. </w:t>
      </w:r>
      <w:hyperlink r:id="rId6" w:history="1">
        <w:r w:rsidRPr="0053369B">
          <w:rPr>
            <w:rStyle w:val="Hyperlink"/>
            <w:rFonts w:ascii="Arial" w:hAnsi="Arial" w:cs="Arial"/>
            <w:sz w:val="16"/>
            <w:szCs w:val="16"/>
          </w:rPr>
          <w:t>https://www.pc.gov.au/research/completed/gte0607</w:t>
        </w:r>
      </w:hyperlink>
    </w:p>
    <w:p w14:paraId="0AA87667" w14:textId="77777777" w:rsidR="002E3691" w:rsidRPr="0053369B" w:rsidRDefault="002E3691" w:rsidP="000833FA">
      <w:pPr>
        <w:pStyle w:val="EndnoteText"/>
        <w:rPr>
          <w:rFonts w:ascii="Arial" w:hAnsi="Arial" w:cs="Arial"/>
          <w:sz w:val="16"/>
          <w:szCs w:val="16"/>
        </w:rPr>
      </w:pPr>
    </w:p>
  </w:endnote>
  <w:endnote w:id="27">
    <w:p w14:paraId="748B0238" w14:textId="0F20494A" w:rsidR="002E3691" w:rsidRPr="0053369B" w:rsidRDefault="002E3691" w:rsidP="00E923B4">
      <w:pPr>
        <w:pStyle w:val="Heading2"/>
        <w:shd w:val="clear" w:color="auto" w:fill="F4F4F4"/>
        <w:spacing w:before="0" w:after="150"/>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For example: </w:t>
      </w:r>
      <w:r w:rsidRPr="0053369B">
        <w:rPr>
          <w:rFonts w:ascii="Arial" w:eastAsia="Times New Roman" w:hAnsi="Arial" w:cs="Arial"/>
          <w:color w:val="151313"/>
          <w:sz w:val="16"/>
          <w:szCs w:val="16"/>
          <w:lang w:eastAsia="en-AU"/>
        </w:rPr>
        <w:t>Infrastructure Australia is an independent statutory body with a mandate to prioritise and progress nationally significant infrastructure.</w:t>
      </w:r>
      <w:r>
        <w:rPr>
          <w:rFonts w:ascii="Arial" w:eastAsia="Times New Roman" w:hAnsi="Arial" w:cs="Arial"/>
          <w:color w:val="151313"/>
          <w:sz w:val="16"/>
          <w:szCs w:val="16"/>
          <w:lang w:eastAsia="en-AU"/>
        </w:rPr>
        <w:t xml:space="preserve"> </w:t>
      </w:r>
      <w:hyperlink r:id="rId7" w:history="1">
        <w:r w:rsidRPr="005E6FD4">
          <w:rPr>
            <w:rStyle w:val="Hyperlink"/>
            <w:rFonts w:ascii="Arial" w:hAnsi="Arial" w:cs="Arial"/>
            <w:sz w:val="16"/>
            <w:szCs w:val="16"/>
          </w:rPr>
          <w:t>https://infrastructureaustralia.gov.au/</w:t>
        </w:r>
      </w:hyperlink>
    </w:p>
    <w:p w14:paraId="327B13E4" w14:textId="77777777" w:rsidR="002E3691" w:rsidRPr="0053369B" w:rsidRDefault="002E3691">
      <w:pPr>
        <w:pStyle w:val="EndnoteText"/>
        <w:rPr>
          <w:rFonts w:ascii="Arial" w:hAnsi="Arial" w:cs="Arial"/>
          <w:sz w:val="16"/>
          <w:szCs w:val="16"/>
        </w:rPr>
      </w:pPr>
    </w:p>
  </w:endnote>
  <w:endnote w:id="28">
    <w:p w14:paraId="2063B8EA" w14:textId="77777777" w:rsidR="002E3691" w:rsidRPr="0053369B" w:rsidRDefault="002E3691" w:rsidP="001214DA">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Nikolas Kirby, Simone Webbe, </w:t>
      </w:r>
      <w:r w:rsidRPr="0053369B">
        <w:rPr>
          <w:rFonts w:ascii="Arial" w:hAnsi="Arial" w:cs="Arial"/>
          <w:i/>
          <w:sz w:val="16"/>
          <w:szCs w:val="16"/>
        </w:rPr>
        <w:t>Being a trusted and respected partner: the APS integrity framework</w:t>
      </w:r>
      <w:r w:rsidRPr="0053369B">
        <w:rPr>
          <w:rFonts w:ascii="Arial" w:hAnsi="Arial" w:cs="Arial"/>
          <w:sz w:val="16"/>
          <w:szCs w:val="16"/>
        </w:rPr>
        <w:t>, An ANZSOG research paper for the Australian Public Service Review Panel, March 2019.</w:t>
      </w:r>
    </w:p>
    <w:p w14:paraId="415554D5" w14:textId="77777777" w:rsidR="002E3691" w:rsidRPr="0053369B" w:rsidRDefault="002E3691">
      <w:pPr>
        <w:pStyle w:val="EndnoteText"/>
        <w:rPr>
          <w:rFonts w:ascii="Arial" w:hAnsi="Arial" w:cs="Arial"/>
          <w:sz w:val="16"/>
          <w:szCs w:val="16"/>
        </w:rPr>
      </w:pPr>
    </w:p>
  </w:endnote>
  <w:endnote w:id="29">
    <w:p w14:paraId="1B0A3AD9" w14:textId="45B9BB72" w:rsidR="002E3691" w:rsidRPr="0053369B" w:rsidRDefault="002E3691">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See: </w:t>
      </w:r>
      <w:hyperlink r:id="rId8" w:history="1">
        <w:r w:rsidRPr="0053369B">
          <w:rPr>
            <w:rStyle w:val="Hyperlink"/>
            <w:rFonts w:ascii="Arial" w:hAnsi="Arial" w:cs="Arial"/>
            <w:sz w:val="16"/>
            <w:szCs w:val="16"/>
          </w:rPr>
          <w:t>https://infrastructure.org.au/our-board/</w:t>
        </w:r>
      </w:hyperlink>
      <w:r w:rsidRPr="0053369B">
        <w:rPr>
          <w:rFonts w:ascii="Arial" w:hAnsi="Arial" w:cs="Arial"/>
          <w:sz w:val="16"/>
          <w:szCs w:val="16"/>
        </w:rPr>
        <w:t xml:space="preserve">.  </w:t>
      </w:r>
    </w:p>
    <w:p w14:paraId="348ACDFB" w14:textId="0A90808A" w:rsidR="002E3691" w:rsidRPr="0053369B" w:rsidRDefault="002E3691">
      <w:pPr>
        <w:pStyle w:val="EndnoteText"/>
        <w:rPr>
          <w:rFonts w:ascii="Arial" w:hAnsi="Arial" w:cs="Arial"/>
          <w:sz w:val="16"/>
          <w:szCs w:val="16"/>
        </w:rPr>
      </w:pPr>
      <w:r w:rsidRPr="0053369B">
        <w:rPr>
          <w:rFonts w:ascii="Arial" w:hAnsi="Arial" w:cs="Arial"/>
          <w:sz w:val="16"/>
          <w:szCs w:val="16"/>
        </w:rPr>
        <w:t xml:space="preserve">The matter is presumably known by the Australian Public Service; it has been raised on Mr John Menadue AO Pearls and Irritations site – a site widely read among senior public servants.  It also was identified on the jadebeagle site which also is read by Commonwealth and State officials involved in infrastructure and transport.  See for example: </w:t>
      </w:r>
      <w:hyperlink r:id="rId9" w:history="1">
        <w:r w:rsidRPr="0053369B">
          <w:rPr>
            <w:rStyle w:val="Hyperlink"/>
            <w:rFonts w:ascii="Arial" w:hAnsi="Arial" w:cs="Arial"/>
            <w:sz w:val="16"/>
            <w:szCs w:val="16"/>
          </w:rPr>
          <w:t>https://johnmenadue.com/john-austen-revolving-doors-at-the-infrastructure-club/</w:t>
        </w:r>
      </w:hyperlink>
    </w:p>
    <w:p w14:paraId="6BE1288D" w14:textId="77777777" w:rsidR="002E3691" w:rsidRPr="0053369B" w:rsidRDefault="002E3691">
      <w:pPr>
        <w:pStyle w:val="EndnoteText"/>
        <w:rPr>
          <w:rFonts w:ascii="Arial" w:hAnsi="Arial" w:cs="Arial"/>
          <w:sz w:val="16"/>
          <w:szCs w:val="16"/>
        </w:rPr>
      </w:pPr>
    </w:p>
  </w:endnote>
  <w:endnote w:id="30">
    <w:p w14:paraId="410D4D4E" w14:textId="672D95F2" w:rsidR="002E3691" w:rsidRPr="0053369B" w:rsidRDefault="002E3691" w:rsidP="007727BC">
      <w:pPr>
        <w:spacing w:after="0" w:line="276" w:lineRule="auto"/>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The practice is not limited to Commonwealth officials; senior State officials are on </w:t>
      </w:r>
      <w:r>
        <w:rPr>
          <w:rFonts w:ascii="Arial" w:hAnsi="Arial" w:cs="Arial"/>
          <w:sz w:val="16"/>
          <w:szCs w:val="16"/>
        </w:rPr>
        <w:t xml:space="preserve">similar </w:t>
      </w:r>
      <w:r w:rsidRPr="0053369B">
        <w:rPr>
          <w:rFonts w:ascii="Arial" w:hAnsi="Arial" w:cs="Arial"/>
          <w:sz w:val="16"/>
          <w:szCs w:val="16"/>
        </w:rPr>
        <w:t>boards.</w:t>
      </w:r>
    </w:p>
    <w:p w14:paraId="71B2F218" w14:textId="2C40E6A6" w:rsidR="002E3691" w:rsidRPr="0053369B" w:rsidRDefault="002E3691" w:rsidP="007727BC">
      <w:pPr>
        <w:spacing w:after="0" w:line="276" w:lineRule="auto"/>
        <w:rPr>
          <w:rFonts w:ascii="Arial" w:hAnsi="Arial" w:cs="Arial"/>
          <w:sz w:val="16"/>
          <w:szCs w:val="16"/>
        </w:rPr>
      </w:pPr>
      <w:r w:rsidRPr="0053369B">
        <w:rPr>
          <w:rFonts w:ascii="Arial" w:hAnsi="Arial" w:cs="Arial"/>
          <w:sz w:val="16"/>
          <w:szCs w:val="16"/>
        </w:rPr>
        <w:t>It is true employees of public sector organisations are on boards of industry peak organisations such as the Australasian Railways Association.  However, those public sector organisations are not Departments; they neither represent nor advise government.  It is also true senior public servants are on advisory boards of other organisations.  However, those organisations, such as universities, are not primarily engaged in the promotion of private interests.  Moreover, there is much more information about the nature of those organisations in terms of finances, control and membership.</w:t>
      </w:r>
    </w:p>
    <w:p w14:paraId="083D454F" w14:textId="447AB68F" w:rsidR="002E3691" w:rsidRPr="0053369B" w:rsidRDefault="002E3691">
      <w:pPr>
        <w:pStyle w:val="EndnoteText"/>
        <w:rPr>
          <w:rFonts w:ascii="Arial" w:hAnsi="Arial" w:cs="Arial"/>
          <w:sz w:val="16"/>
          <w:szCs w:val="16"/>
        </w:rPr>
      </w:pPr>
    </w:p>
  </w:endnote>
  <w:endnote w:id="31">
    <w:p w14:paraId="7B3ABAB1" w14:textId="6FE3DFDD" w:rsidR="002E3691" w:rsidRPr="0053369B" w:rsidRDefault="002E3691">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For example see Senator Johnston</w:t>
      </w:r>
      <w:r>
        <w:rPr>
          <w:rFonts w:ascii="Arial" w:hAnsi="Arial" w:cs="Arial"/>
          <w:sz w:val="16"/>
          <w:szCs w:val="16"/>
        </w:rPr>
        <w:t>’</w:t>
      </w:r>
      <w:r w:rsidRPr="0053369B">
        <w:rPr>
          <w:rFonts w:ascii="Arial" w:hAnsi="Arial" w:cs="Arial"/>
          <w:sz w:val="16"/>
          <w:szCs w:val="16"/>
        </w:rPr>
        <w:t xml:space="preserve">s comments on the second reading of the </w:t>
      </w:r>
      <w:r>
        <w:rPr>
          <w:rFonts w:ascii="Arial" w:hAnsi="Arial" w:cs="Arial"/>
          <w:sz w:val="16"/>
          <w:szCs w:val="16"/>
        </w:rPr>
        <w:t xml:space="preserve">2013 </w:t>
      </w:r>
      <w:r w:rsidRPr="0053369B">
        <w:rPr>
          <w:rFonts w:ascii="Arial" w:hAnsi="Arial" w:cs="Arial"/>
          <w:sz w:val="16"/>
          <w:szCs w:val="16"/>
        </w:rPr>
        <w:t xml:space="preserve">Infrastructure Australia </w:t>
      </w:r>
      <w:r>
        <w:rPr>
          <w:rFonts w:ascii="Arial" w:hAnsi="Arial" w:cs="Arial"/>
          <w:sz w:val="16"/>
          <w:szCs w:val="16"/>
        </w:rPr>
        <w:t>A</w:t>
      </w:r>
      <w:r w:rsidRPr="0053369B">
        <w:rPr>
          <w:rFonts w:ascii="Arial" w:hAnsi="Arial" w:cs="Arial"/>
          <w:sz w:val="16"/>
          <w:szCs w:val="16"/>
        </w:rPr>
        <w:t xml:space="preserve">mendment </w:t>
      </w:r>
      <w:r>
        <w:rPr>
          <w:rFonts w:ascii="Arial" w:hAnsi="Arial" w:cs="Arial"/>
          <w:sz w:val="16"/>
          <w:szCs w:val="16"/>
        </w:rPr>
        <w:t>B</w:t>
      </w:r>
      <w:r w:rsidRPr="0053369B">
        <w:rPr>
          <w:rFonts w:ascii="Arial" w:hAnsi="Arial" w:cs="Arial"/>
          <w:sz w:val="16"/>
          <w:szCs w:val="16"/>
        </w:rPr>
        <w:t xml:space="preserve">ill: </w:t>
      </w:r>
      <w:hyperlink r:id="rId10" w:history="1">
        <w:r w:rsidRPr="0053369B">
          <w:rPr>
            <w:rStyle w:val="Hyperlink"/>
            <w:rFonts w:ascii="Arial" w:hAnsi="Arial" w:cs="Arial"/>
            <w:sz w:val="16"/>
            <w:szCs w:val="16"/>
          </w:rPr>
          <w:t>https://parlinfo.aph.gov.au/parlInfo/genpdf/chamber/hansards/83688ae6-f170-4f32-a8f6-d8a971c587c8/0153/hansard_frag.pdf;fileType=application%2Fpdf</w:t>
        </w:r>
      </w:hyperlink>
      <w:r>
        <w:rPr>
          <w:rFonts w:ascii="Arial" w:hAnsi="Arial" w:cs="Arial"/>
          <w:sz w:val="16"/>
          <w:szCs w:val="16"/>
        </w:rPr>
        <w:t xml:space="preserve"> (and note xxiii below).</w:t>
      </w:r>
    </w:p>
    <w:p w14:paraId="05F6D876" w14:textId="77777777" w:rsidR="002E3691" w:rsidRPr="0053369B" w:rsidRDefault="002E3691">
      <w:pPr>
        <w:pStyle w:val="EndnoteText"/>
        <w:rPr>
          <w:rFonts w:ascii="Arial" w:hAnsi="Arial" w:cs="Arial"/>
          <w:sz w:val="16"/>
          <w:szCs w:val="16"/>
        </w:rPr>
      </w:pPr>
    </w:p>
  </w:endnote>
  <w:endnote w:id="32">
    <w:p w14:paraId="448ED1B2" w14:textId="4EF4B26A" w:rsidR="002E3691" w:rsidRPr="0053369B" w:rsidRDefault="002E3691">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As a corporate</w:t>
      </w:r>
      <w:r>
        <w:rPr>
          <w:rFonts w:ascii="Arial" w:hAnsi="Arial" w:cs="Arial"/>
          <w:sz w:val="16"/>
          <w:szCs w:val="16"/>
        </w:rPr>
        <w:t>,</w:t>
      </w:r>
      <w:r w:rsidRPr="0053369B">
        <w:rPr>
          <w:rFonts w:ascii="Arial" w:hAnsi="Arial" w:cs="Arial"/>
          <w:sz w:val="16"/>
          <w:szCs w:val="16"/>
        </w:rPr>
        <w:t xml:space="preserve"> Infrastructure Australia has issued highly contentious advice with</w:t>
      </w:r>
      <w:r>
        <w:rPr>
          <w:rFonts w:ascii="Arial" w:hAnsi="Arial" w:cs="Arial"/>
          <w:sz w:val="16"/>
          <w:szCs w:val="16"/>
        </w:rPr>
        <w:t>out</w:t>
      </w:r>
      <w:r w:rsidRPr="0053369B">
        <w:rPr>
          <w:rFonts w:ascii="Arial" w:hAnsi="Arial" w:cs="Arial"/>
          <w:sz w:val="16"/>
          <w:szCs w:val="16"/>
        </w:rPr>
        <w:t xml:space="preserve"> adequate explanation.  One example is the very brief recommendation for Sydney Metro which ignored the determining features of the project (tunnel size and Sydney city alignment) and was made without a stated cost - </w:t>
      </w:r>
      <w:hyperlink r:id="rId11" w:history="1">
        <w:r w:rsidRPr="0053369B">
          <w:rPr>
            <w:rStyle w:val="Hyperlink"/>
            <w:rFonts w:ascii="Arial" w:hAnsi="Arial" w:cs="Arial"/>
            <w:sz w:val="16"/>
            <w:szCs w:val="16"/>
          </w:rPr>
          <w:t>https://johnmenadue.com/john-austen-infrastructure-advice-worse-than-expected/</w:t>
        </w:r>
      </w:hyperlink>
      <w:r w:rsidRPr="0053369B">
        <w:rPr>
          <w:rFonts w:ascii="Arial" w:hAnsi="Arial" w:cs="Arial"/>
          <w:sz w:val="16"/>
          <w:szCs w:val="16"/>
        </w:rPr>
        <w:t xml:space="preserve">.  Another is the similarly brief recommendation for WestConnex; while the project’s scope fundamentally changed after Infrastructure Australia’s report, its assessment has not been publicly revised </w:t>
      </w:r>
      <w:hyperlink r:id="rId12" w:history="1">
        <w:r w:rsidRPr="0053369B">
          <w:rPr>
            <w:rStyle w:val="Hyperlink"/>
            <w:rFonts w:ascii="Arial" w:hAnsi="Arial" w:cs="Arial"/>
            <w:sz w:val="16"/>
            <w:szCs w:val="16"/>
          </w:rPr>
          <w:t>https://johnmenadue.com/john-austen-doubts-about-infrastructure-go-beyond-sydney-metro/</w:t>
        </w:r>
      </w:hyperlink>
      <w:r w:rsidRPr="0053369B">
        <w:rPr>
          <w:rFonts w:ascii="Arial" w:hAnsi="Arial" w:cs="Arial"/>
          <w:sz w:val="16"/>
          <w:szCs w:val="16"/>
        </w:rPr>
        <w:t xml:space="preserve">.  Other contentious advice includes an inadequately researched piece on public transport franchising -  </w:t>
      </w:r>
      <w:hyperlink r:id="rId13" w:history="1">
        <w:r w:rsidRPr="0053369B">
          <w:rPr>
            <w:rStyle w:val="Hyperlink"/>
            <w:rFonts w:ascii="Arial" w:hAnsi="Arial" w:cs="Arial"/>
            <w:sz w:val="16"/>
            <w:szCs w:val="16"/>
          </w:rPr>
          <w:t>https://johnmenadue.com/john-austen-does-infrastructure-australia-understand-its-ideas-for-public-transport-franchising/</w:t>
        </w:r>
      </w:hyperlink>
      <w:r w:rsidRPr="0053369B">
        <w:rPr>
          <w:rFonts w:ascii="Arial" w:hAnsi="Arial" w:cs="Arial"/>
          <w:sz w:val="16"/>
          <w:szCs w:val="16"/>
        </w:rPr>
        <w:t xml:space="preserve">and a strange recommendation to not proceed with the Maldon -Dombarton rail project </w:t>
      </w:r>
      <w:hyperlink r:id="rId14" w:history="1">
        <w:r w:rsidRPr="0053369B">
          <w:rPr>
            <w:rStyle w:val="Hyperlink"/>
            <w:rFonts w:ascii="Arial" w:hAnsi="Arial" w:cs="Arial"/>
            <w:sz w:val="16"/>
            <w:szCs w:val="16"/>
          </w:rPr>
          <w:t>https://www.thejadebeagle.com/the-dog-that-didnt-bark.html</w:t>
        </w:r>
      </w:hyperlink>
      <w:r w:rsidRPr="0053369B">
        <w:rPr>
          <w:rFonts w:ascii="Arial" w:hAnsi="Arial" w:cs="Arial"/>
          <w:sz w:val="16"/>
          <w:szCs w:val="16"/>
        </w:rPr>
        <w:t>.</w:t>
      </w:r>
    </w:p>
    <w:p w14:paraId="4A80BF85" w14:textId="015EA731" w:rsidR="002E3691" w:rsidRPr="0053369B" w:rsidRDefault="002E3691">
      <w:pPr>
        <w:pStyle w:val="EndnoteText"/>
        <w:rPr>
          <w:rFonts w:ascii="Arial" w:hAnsi="Arial" w:cs="Arial"/>
          <w:sz w:val="16"/>
          <w:szCs w:val="16"/>
        </w:rPr>
      </w:pPr>
    </w:p>
  </w:endnote>
  <w:endnote w:id="33">
    <w:p w14:paraId="46531492" w14:textId="45C3EE0E" w:rsidR="002E3691" w:rsidRPr="0053369B" w:rsidRDefault="002E3691">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See, for example: </w:t>
      </w:r>
      <w:hyperlink r:id="rId15" w:history="1">
        <w:r w:rsidRPr="0053369B">
          <w:rPr>
            <w:rStyle w:val="Hyperlink"/>
            <w:rFonts w:ascii="Arial" w:hAnsi="Arial" w:cs="Arial"/>
            <w:sz w:val="16"/>
            <w:szCs w:val="16"/>
          </w:rPr>
          <w:t>https://lpaweb-static.s3.amazonaws.com/13-09-05%20Coalition%202013%20Election%20Policy%20%E2%80%93%20Better%20Infrastructure%20Planning%20%E2%80%93%20policy%20document.pdf</w:t>
        </w:r>
      </w:hyperlink>
    </w:p>
    <w:p w14:paraId="1167F63C" w14:textId="77777777" w:rsidR="002E3691" w:rsidRPr="0053369B" w:rsidRDefault="002E3691">
      <w:pPr>
        <w:pStyle w:val="EndnoteText"/>
        <w:rPr>
          <w:rFonts w:ascii="Arial" w:hAnsi="Arial" w:cs="Arial"/>
          <w:sz w:val="16"/>
          <w:szCs w:val="16"/>
        </w:rPr>
      </w:pPr>
    </w:p>
  </w:endnote>
  <w:endnote w:id="34">
    <w:p w14:paraId="530B1551" w14:textId="24231C8B" w:rsidR="002E3691" w:rsidRPr="0053369B" w:rsidRDefault="002E3691">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See note xv (above).</w:t>
      </w:r>
    </w:p>
    <w:p w14:paraId="720AD670" w14:textId="77777777" w:rsidR="002E3691" w:rsidRPr="0053369B" w:rsidRDefault="002E3691">
      <w:pPr>
        <w:pStyle w:val="EndnoteText"/>
        <w:rPr>
          <w:rFonts w:ascii="Arial" w:hAnsi="Arial" w:cs="Arial"/>
          <w:sz w:val="16"/>
          <w:szCs w:val="16"/>
        </w:rPr>
      </w:pPr>
    </w:p>
  </w:endnote>
  <w:endnote w:id="35">
    <w:p w14:paraId="15DCB4D3" w14:textId="777FAE04" w:rsidR="002E3691" w:rsidRPr="0053369B" w:rsidRDefault="002E3691" w:rsidP="00106AC6">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Examples are provided in Austral Obscura at the jadebeagle.com, especially at notes xx, xxii and xxiii.</w:t>
      </w:r>
    </w:p>
    <w:p w14:paraId="4F11B2D5" w14:textId="77777777" w:rsidR="002E3691" w:rsidRPr="0053369B" w:rsidRDefault="002E3691" w:rsidP="00106AC6">
      <w:pPr>
        <w:pStyle w:val="EndnoteText"/>
        <w:rPr>
          <w:rFonts w:ascii="Arial" w:hAnsi="Arial" w:cs="Arial"/>
          <w:sz w:val="16"/>
          <w:szCs w:val="16"/>
        </w:rPr>
      </w:pPr>
    </w:p>
  </w:endnote>
  <w:endnote w:id="36">
    <w:p w14:paraId="46836151" w14:textId="202C1E8E" w:rsidR="002E3691" w:rsidRPr="0053369B" w:rsidRDefault="002E3691">
      <w:pPr>
        <w:pStyle w:val="EndnoteText"/>
        <w:rPr>
          <w:rFonts w:ascii="Arial" w:hAnsi="Arial" w:cs="Arial"/>
          <w:sz w:val="16"/>
          <w:szCs w:val="16"/>
        </w:rPr>
      </w:pPr>
      <w:r w:rsidRPr="0053369B">
        <w:rPr>
          <w:rStyle w:val="EndnoteReference"/>
          <w:rFonts w:ascii="Arial" w:hAnsi="Arial" w:cs="Arial"/>
          <w:sz w:val="16"/>
          <w:szCs w:val="16"/>
        </w:rPr>
        <w:endnoteRef/>
      </w:r>
      <w:r w:rsidRPr="0053369B">
        <w:rPr>
          <w:rFonts w:ascii="Arial" w:hAnsi="Arial" w:cs="Arial"/>
          <w:sz w:val="16"/>
          <w:szCs w:val="16"/>
        </w:rPr>
        <w:t xml:space="preserve"> See note xxxv (above).</w:t>
      </w:r>
    </w:p>
    <w:p w14:paraId="0F3C2279" w14:textId="767850A6" w:rsidR="002E3691" w:rsidRPr="0053369B" w:rsidRDefault="002E3691">
      <w:pPr>
        <w:pStyle w:val="EndnoteText"/>
        <w:rPr>
          <w:rFonts w:ascii="Arial" w:hAnsi="Arial" w:cs="Arial"/>
          <w:sz w:val="16"/>
          <w:szCs w:val="16"/>
        </w:rPr>
      </w:pPr>
    </w:p>
  </w:endnote>
  <w:endnote w:id="37">
    <w:p w14:paraId="18D5D242" w14:textId="77777777" w:rsidR="002E3691" w:rsidRPr="00E923B4" w:rsidRDefault="002E3691">
      <w:pPr>
        <w:pStyle w:val="EndnoteText"/>
        <w:rPr>
          <w:rFonts w:ascii="Arial" w:hAnsi="Arial" w:cs="Arial"/>
          <w:sz w:val="16"/>
          <w:szCs w:val="16"/>
        </w:rPr>
      </w:pPr>
      <w:r w:rsidRPr="00E923B4">
        <w:rPr>
          <w:rStyle w:val="EndnoteReference"/>
          <w:rFonts w:ascii="Arial" w:hAnsi="Arial" w:cs="Arial"/>
          <w:sz w:val="16"/>
          <w:szCs w:val="16"/>
        </w:rPr>
        <w:endnoteRef/>
      </w:r>
      <w:r w:rsidRPr="00E923B4">
        <w:rPr>
          <w:rFonts w:ascii="Arial" w:hAnsi="Arial" w:cs="Arial"/>
          <w:sz w:val="16"/>
          <w:szCs w:val="16"/>
        </w:rPr>
        <w:t xml:space="preserve"> Examples:</w:t>
      </w:r>
    </w:p>
    <w:p w14:paraId="5EA5B9D7" w14:textId="392A80EC" w:rsidR="002E3691" w:rsidRPr="00E923B4" w:rsidRDefault="002E3691">
      <w:pPr>
        <w:pStyle w:val="EndnoteText"/>
        <w:rPr>
          <w:rFonts w:ascii="Arial" w:hAnsi="Arial" w:cs="Arial"/>
          <w:sz w:val="16"/>
          <w:szCs w:val="16"/>
        </w:rPr>
      </w:pPr>
      <w:r w:rsidRPr="00E923B4">
        <w:rPr>
          <w:rFonts w:ascii="Arial" w:hAnsi="Arial" w:cs="Arial"/>
          <w:sz w:val="16"/>
          <w:szCs w:val="16"/>
        </w:rPr>
        <w:t xml:space="preserve">Regulator unable to regulate: note xi of Australia Obscura </w:t>
      </w:r>
      <w:hyperlink r:id="rId16" w:history="1">
        <w:r w:rsidRPr="00E923B4">
          <w:rPr>
            <w:rStyle w:val="Hyperlink"/>
            <w:sz w:val="16"/>
            <w:szCs w:val="16"/>
          </w:rPr>
          <w:t>https://www.thejadebeagle.com/austral-obscura-2.html</w:t>
        </w:r>
      </w:hyperlink>
    </w:p>
    <w:p w14:paraId="772A32A5" w14:textId="39BB37CD" w:rsidR="002E3691" w:rsidRPr="00E923B4" w:rsidRDefault="002E3691">
      <w:pPr>
        <w:pStyle w:val="EndnoteText"/>
        <w:rPr>
          <w:rFonts w:ascii="Arial" w:hAnsi="Arial" w:cs="Arial"/>
          <w:sz w:val="16"/>
          <w:szCs w:val="16"/>
        </w:rPr>
      </w:pPr>
      <w:r w:rsidRPr="00E923B4">
        <w:rPr>
          <w:rFonts w:ascii="Arial" w:hAnsi="Arial" w:cs="Arial"/>
          <w:sz w:val="16"/>
          <w:szCs w:val="16"/>
        </w:rPr>
        <w:t xml:space="preserve">Proposal for regulator: </w:t>
      </w:r>
      <w:hyperlink r:id="rId17" w:history="1">
        <w:r w:rsidRPr="00E923B4">
          <w:rPr>
            <w:rStyle w:val="Hyperlink"/>
            <w:rFonts w:ascii="Arial" w:hAnsi="Arial" w:cs="Arial"/>
            <w:sz w:val="16"/>
            <w:szCs w:val="16"/>
          </w:rPr>
          <w:t>https://www.thejadebeagle.com/a-job-for-hollywood-harold.html</w:t>
        </w:r>
      </w:hyperlink>
    </w:p>
    <w:p w14:paraId="101135F2" w14:textId="474501DC" w:rsidR="002E3691" w:rsidRPr="00E923B4" w:rsidRDefault="002E3691">
      <w:pPr>
        <w:pStyle w:val="EndnoteText"/>
        <w:rPr>
          <w:rFonts w:ascii="Arial" w:hAnsi="Arial" w:cs="Arial"/>
          <w:sz w:val="16"/>
          <w:szCs w:val="16"/>
        </w:rPr>
      </w:pPr>
      <w:r w:rsidRPr="00E923B4">
        <w:rPr>
          <w:rFonts w:ascii="Arial" w:hAnsi="Arial" w:cs="Arial"/>
          <w:sz w:val="16"/>
          <w:szCs w:val="16"/>
        </w:rPr>
        <w:t>Location instead of road class: note xi of Austral Obscura</w:t>
      </w:r>
    </w:p>
    <w:p w14:paraId="357751FB" w14:textId="08F8D6FB" w:rsidR="002E3691" w:rsidRPr="00E923B4" w:rsidRDefault="002E3691">
      <w:pPr>
        <w:pStyle w:val="EndnoteText"/>
        <w:rPr>
          <w:rFonts w:ascii="Arial" w:hAnsi="Arial" w:cs="Arial"/>
          <w:sz w:val="16"/>
          <w:szCs w:val="16"/>
        </w:rPr>
      </w:pPr>
      <w:r w:rsidRPr="00E923B4">
        <w:rPr>
          <w:rFonts w:ascii="Arial" w:hAnsi="Arial" w:cs="Arial"/>
          <w:sz w:val="16"/>
          <w:szCs w:val="16"/>
        </w:rPr>
        <w:t>National network: note xii Austral Obscura</w:t>
      </w:r>
    </w:p>
    <w:p w14:paraId="17BD4EFA" w14:textId="54F6E755" w:rsidR="002E3691" w:rsidRPr="00E923B4" w:rsidRDefault="002E3691">
      <w:pPr>
        <w:pStyle w:val="EndnoteText"/>
        <w:rPr>
          <w:rFonts w:ascii="Arial" w:hAnsi="Arial" w:cs="Arial"/>
          <w:sz w:val="16"/>
          <w:szCs w:val="16"/>
        </w:rPr>
      </w:pPr>
      <w:r w:rsidRPr="00E923B4">
        <w:rPr>
          <w:rFonts w:ascii="Arial" w:hAnsi="Arial" w:cs="Arial"/>
          <w:sz w:val="16"/>
          <w:szCs w:val="16"/>
        </w:rPr>
        <w:t xml:space="preserve">Freight: </w:t>
      </w:r>
      <w:hyperlink r:id="rId18" w:history="1">
        <w:r w:rsidRPr="00E923B4">
          <w:rPr>
            <w:rStyle w:val="Hyperlink"/>
            <w:rFonts w:ascii="Arial" w:hAnsi="Arial" w:cs="Arial"/>
            <w:sz w:val="16"/>
            <w:szCs w:val="16"/>
          </w:rPr>
          <w:t>https://johnmenadue.com/john-austen-australian-freight-policy-after-the-chainsaw-part-3/</w:t>
        </w:r>
      </w:hyperlink>
    </w:p>
    <w:p w14:paraId="1B6C57A5" w14:textId="77777777" w:rsidR="002E3691" w:rsidRDefault="002E369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024A8" w14:textId="77777777" w:rsidR="002E3691" w:rsidRDefault="002E3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487080"/>
      <w:docPartObj>
        <w:docPartGallery w:val="Page Numbers (Bottom of Page)"/>
        <w:docPartUnique/>
      </w:docPartObj>
    </w:sdtPr>
    <w:sdtEndPr>
      <w:rPr>
        <w:noProof/>
      </w:rPr>
    </w:sdtEndPr>
    <w:sdtContent>
      <w:p w14:paraId="7755D36E" w14:textId="745C5F43" w:rsidR="002E3691" w:rsidRDefault="002E3691">
        <w:pPr>
          <w:pStyle w:val="Footer"/>
          <w:jc w:val="center"/>
        </w:pPr>
        <w:r>
          <w:fldChar w:fldCharType="begin"/>
        </w:r>
        <w:r>
          <w:instrText xml:space="preserve"> PAGE   \* MERGEFORMAT </w:instrText>
        </w:r>
        <w:r>
          <w:fldChar w:fldCharType="separate"/>
        </w:r>
        <w:r w:rsidR="0066347A">
          <w:rPr>
            <w:noProof/>
          </w:rPr>
          <w:t>2</w:t>
        </w:r>
        <w:r>
          <w:rPr>
            <w:noProof/>
          </w:rPr>
          <w:fldChar w:fldCharType="end"/>
        </w:r>
      </w:p>
    </w:sdtContent>
  </w:sdt>
  <w:p w14:paraId="070821F6" w14:textId="77777777" w:rsidR="002E3691" w:rsidRDefault="002E36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FF8BA" w14:textId="77777777" w:rsidR="002E3691" w:rsidRDefault="002E3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B485B" w14:textId="77777777" w:rsidR="00C134FD" w:rsidRDefault="00C134FD" w:rsidP="00033A94">
      <w:pPr>
        <w:spacing w:after="0" w:line="240" w:lineRule="auto"/>
      </w:pPr>
      <w:r>
        <w:separator/>
      </w:r>
    </w:p>
  </w:footnote>
  <w:footnote w:type="continuationSeparator" w:id="0">
    <w:p w14:paraId="6EEE2614" w14:textId="77777777" w:rsidR="00C134FD" w:rsidRDefault="00C134FD" w:rsidP="00033A94">
      <w:pPr>
        <w:spacing w:after="0" w:line="240" w:lineRule="auto"/>
      </w:pPr>
      <w:r>
        <w:continuationSeparator/>
      </w:r>
    </w:p>
  </w:footnote>
  <w:footnote w:id="1">
    <w:p w14:paraId="224C23B6" w14:textId="77777777" w:rsidR="002E3691" w:rsidRPr="006357A1" w:rsidRDefault="002E3691" w:rsidP="00F0287C">
      <w:pPr>
        <w:pStyle w:val="FootnoteText"/>
        <w:rPr>
          <w:sz w:val="18"/>
          <w:szCs w:val="18"/>
        </w:rPr>
      </w:pPr>
      <w:r w:rsidRPr="006357A1">
        <w:rPr>
          <w:rStyle w:val="FootnoteReference"/>
          <w:sz w:val="18"/>
          <w:szCs w:val="18"/>
        </w:rPr>
        <w:footnoteRef/>
      </w:r>
      <w:r w:rsidRPr="006357A1">
        <w:rPr>
          <w:sz w:val="18"/>
          <w:szCs w:val="18"/>
        </w:rPr>
        <w:t xml:space="preserve"> In this note government comprises organs of the state – Legislature (Parliament), Executive (Government) and Judiciary (courts).  Government (capitalised) is the Executive.</w:t>
      </w:r>
    </w:p>
  </w:footnote>
  <w:footnote w:id="2">
    <w:p w14:paraId="15DE4790" w14:textId="77777777" w:rsidR="002E3691" w:rsidRPr="00E27DB2" w:rsidRDefault="002E3691" w:rsidP="00DE5B7E">
      <w:pPr>
        <w:pStyle w:val="FootnoteText"/>
        <w:rPr>
          <w:sz w:val="18"/>
          <w:szCs w:val="18"/>
        </w:rPr>
      </w:pPr>
      <w:r w:rsidRPr="00E27DB2">
        <w:rPr>
          <w:rStyle w:val="FootnoteReference"/>
          <w:sz w:val="18"/>
          <w:szCs w:val="18"/>
        </w:rPr>
        <w:footnoteRef/>
      </w:r>
      <w:r w:rsidRPr="00E27DB2">
        <w:rPr>
          <w:sz w:val="18"/>
          <w:szCs w:val="18"/>
        </w:rPr>
        <w:t xml:space="preserve"> In this note Departments are those organisations created by the Executive, Authorities are created by the Parliament.</w:t>
      </w:r>
    </w:p>
  </w:footnote>
  <w:footnote w:id="3">
    <w:p w14:paraId="638447BF" w14:textId="0B2890C4" w:rsidR="002E3691" w:rsidRDefault="002E3691" w:rsidP="00A01F37">
      <w:pPr>
        <w:pStyle w:val="FootnoteText"/>
      </w:pPr>
      <w:r>
        <w:rPr>
          <w:rStyle w:val="FootnoteReference"/>
        </w:rPr>
        <w:footnoteRef/>
      </w:r>
      <w:r>
        <w:t xml:space="preserve"> In this note, the term ‘public duty’ entails decisions made with a government power e.g. not an arms- length contract.  Examples include regulatory decisions, advice and information from a government agency.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404B3" w14:textId="77777777" w:rsidR="002E3691" w:rsidRDefault="002E3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AA184" w14:textId="77777777" w:rsidR="002E3691" w:rsidRDefault="002E36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D8418" w14:textId="77777777" w:rsidR="002E3691" w:rsidRDefault="002E3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5979"/>
    <w:multiLevelType w:val="hybridMultilevel"/>
    <w:tmpl w:val="BF04901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E81A5E"/>
    <w:multiLevelType w:val="hybridMultilevel"/>
    <w:tmpl w:val="8572D828"/>
    <w:lvl w:ilvl="0" w:tplc="0C09000F">
      <w:start w:val="2"/>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15:restartNumberingAfterBreak="0">
    <w:nsid w:val="3DD3046F"/>
    <w:multiLevelType w:val="hybridMultilevel"/>
    <w:tmpl w:val="A5E840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1051F03"/>
    <w:multiLevelType w:val="hybridMultilevel"/>
    <w:tmpl w:val="2EF279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E9A2848"/>
    <w:multiLevelType w:val="hybridMultilevel"/>
    <w:tmpl w:val="490819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70E6E8F"/>
    <w:multiLevelType w:val="hybridMultilevel"/>
    <w:tmpl w:val="8036F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925021"/>
    <w:multiLevelType w:val="hybridMultilevel"/>
    <w:tmpl w:val="5EEE65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8AD1EBA"/>
    <w:multiLevelType w:val="hybridMultilevel"/>
    <w:tmpl w:val="0BE6F00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191583"/>
    <w:multiLevelType w:val="hybridMultilevel"/>
    <w:tmpl w:val="F790DBD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344C19"/>
    <w:multiLevelType w:val="hybridMultilevel"/>
    <w:tmpl w:val="B7BE7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AF96B5F"/>
    <w:multiLevelType w:val="hybridMultilevel"/>
    <w:tmpl w:val="B294488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6"/>
  </w:num>
  <w:num w:numId="5">
    <w:abstractNumId w:val="3"/>
  </w:num>
  <w:num w:numId="6">
    <w:abstractNumId w:val="4"/>
  </w:num>
  <w:num w:numId="7">
    <w:abstractNumId w:val="1"/>
  </w:num>
  <w:num w:numId="8">
    <w:abstractNumId w:val="0"/>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0C"/>
    <w:rsid w:val="00000222"/>
    <w:rsid w:val="00005C34"/>
    <w:rsid w:val="00022DFB"/>
    <w:rsid w:val="00033A94"/>
    <w:rsid w:val="000369FF"/>
    <w:rsid w:val="000452AB"/>
    <w:rsid w:val="0005111B"/>
    <w:rsid w:val="00061B9F"/>
    <w:rsid w:val="000833FA"/>
    <w:rsid w:val="00083B0C"/>
    <w:rsid w:val="000A03C2"/>
    <w:rsid w:val="000A576A"/>
    <w:rsid w:val="000B53A0"/>
    <w:rsid w:val="000D0695"/>
    <w:rsid w:val="000D7292"/>
    <w:rsid w:val="000E2973"/>
    <w:rsid w:val="00106AC6"/>
    <w:rsid w:val="001214DA"/>
    <w:rsid w:val="00154A50"/>
    <w:rsid w:val="00175C61"/>
    <w:rsid w:val="00181F42"/>
    <w:rsid w:val="001A1674"/>
    <w:rsid w:val="001D0C19"/>
    <w:rsid w:val="002114BB"/>
    <w:rsid w:val="00220CD3"/>
    <w:rsid w:val="002212D1"/>
    <w:rsid w:val="00264933"/>
    <w:rsid w:val="00271001"/>
    <w:rsid w:val="00271A08"/>
    <w:rsid w:val="002A2491"/>
    <w:rsid w:val="002C0B84"/>
    <w:rsid w:val="002D26F4"/>
    <w:rsid w:val="002E1666"/>
    <w:rsid w:val="002E28ED"/>
    <w:rsid w:val="002E3691"/>
    <w:rsid w:val="002E78EE"/>
    <w:rsid w:val="002F79D5"/>
    <w:rsid w:val="00312D5C"/>
    <w:rsid w:val="00314361"/>
    <w:rsid w:val="00331763"/>
    <w:rsid w:val="00331973"/>
    <w:rsid w:val="00355C0F"/>
    <w:rsid w:val="003567F7"/>
    <w:rsid w:val="00380D7E"/>
    <w:rsid w:val="0038312B"/>
    <w:rsid w:val="00393C2F"/>
    <w:rsid w:val="00395D64"/>
    <w:rsid w:val="003B3F21"/>
    <w:rsid w:val="003B626F"/>
    <w:rsid w:val="003C2338"/>
    <w:rsid w:val="003E1BA4"/>
    <w:rsid w:val="003E6797"/>
    <w:rsid w:val="003F1D04"/>
    <w:rsid w:val="0040254D"/>
    <w:rsid w:val="00415D21"/>
    <w:rsid w:val="00432467"/>
    <w:rsid w:val="00432845"/>
    <w:rsid w:val="00454D3E"/>
    <w:rsid w:val="0046136E"/>
    <w:rsid w:val="00487521"/>
    <w:rsid w:val="0048760B"/>
    <w:rsid w:val="004916B5"/>
    <w:rsid w:val="004C0115"/>
    <w:rsid w:val="004C63B5"/>
    <w:rsid w:val="004C676F"/>
    <w:rsid w:val="004D4084"/>
    <w:rsid w:val="004D430F"/>
    <w:rsid w:val="004F10BB"/>
    <w:rsid w:val="004F6901"/>
    <w:rsid w:val="00500FF7"/>
    <w:rsid w:val="00506DF5"/>
    <w:rsid w:val="00507B25"/>
    <w:rsid w:val="00515800"/>
    <w:rsid w:val="00515E7A"/>
    <w:rsid w:val="0053369B"/>
    <w:rsid w:val="0054215E"/>
    <w:rsid w:val="0054228C"/>
    <w:rsid w:val="00557F16"/>
    <w:rsid w:val="00567561"/>
    <w:rsid w:val="005708DC"/>
    <w:rsid w:val="0057271E"/>
    <w:rsid w:val="00581442"/>
    <w:rsid w:val="00591CAB"/>
    <w:rsid w:val="00593638"/>
    <w:rsid w:val="00596A40"/>
    <w:rsid w:val="005A44CD"/>
    <w:rsid w:val="005B4B49"/>
    <w:rsid w:val="005B5441"/>
    <w:rsid w:val="005B613B"/>
    <w:rsid w:val="005C018E"/>
    <w:rsid w:val="005D7DA4"/>
    <w:rsid w:val="005E5A8E"/>
    <w:rsid w:val="005E6834"/>
    <w:rsid w:val="005E7111"/>
    <w:rsid w:val="005F65B2"/>
    <w:rsid w:val="00610275"/>
    <w:rsid w:val="0061709A"/>
    <w:rsid w:val="0064059F"/>
    <w:rsid w:val="0064610B"/>
    <w:rsid w:val="00650F63"/>
    <w:rsid w:val="00661134"/>
    <w:rsid w:val="0066347A"/>
    <w:rsid w:val="00664B2C"/>
    <w:rsid w:val="00670314"/>
    <w:rsid w:val="0067320F"/>
    <w:rsid w:val="006812F3"/>
    <w:rsid w:val="00693E1F"/>
    <w:rsid w:val="006A1A02"/>
    <w:rsid w:val="006B0D74"/>
    <w:rsid w:val="006B31FC"/>
    <w:rsid w:val="006B4DDD"/>
    <w:rsid w:val="006B7D14"/>
    <w:rsid w:val="006C0D7C"/>
    <w:rsid w:val="006D4BDE"/>
    <w:rsid w:val="006E2312"/>
    <w:rsid w:val="006F25FB"/>
    <w:rsid w:val="006F5B21"/>
    <w:rsid w:val="006F7258"/>
    <w:rsid w:val="00701416"/>
    <w:rsid w:val="00710DB2"/>
    <w:rsid w:val="00716F69"/>
    <w:rsid w:val="007301DD"/>
    <w:rsid w:val="0076785A"/>
    <w:rsid w:val="007725A3"/>
    <w:rsid w:val="007727BC"/>
    <w:rsid w:val="007853A9"/>
    <w:rsid w:val="00786F50"/>
    <w:rsid w:val="0078786E"/>
    <w:rsid w:val="00791230"/>
    <w:rsid w:val="00797412"/>
    <w:rsid w:val="007A4BD7"/>
    <w:rsid w:val="007A7287"/>
    <w:rsid w:val="007B26AC"/>
    <w:rsid w:val="007B322C"/>
    <w:rsid w:val="007D57DC"/>
    <w:rsid w:val="007F7ED4"/>
    <w:rsid w:val="00802105"/>
    <w:rsid w:val="008062E2"/>
    <w:rsid w:val="00816AC5"/>
    <w:rsid w:val="00823CFF"/>
    <w:rsid w:val="00825247"/>
    <w:rsid w:val="00832EAD"/>
    <w:rsid w:val="00847DA0"/>
    <w:rsid w:val="00850CBC"/>
    <w:rsid w:val="00856FFA"/>
    <w:rsid w:val="00864D3E"/>
    <w:rsid w:val="00866F0C"/>
    <w:rsid w:val="008812F3"/>
    <w:rsid w:val="00881D84"/>
    <w:rsid w:val="008973C5"/>
    <w:rsid w:val="008B2084"/>
    <w:rsid w:val="008B32A2"/>
    <w:rsid w:val="008C284F"/>
    <w:rsid w:val="008C7E9E"/>
    <w:rsid w:val="008D02E1"/>
    <w:rsid w:val="008D2859"/>
    <w:rsid w:val="00904CD0"/>
    <w:rsid w:val="00923EFB"/>
    <w:rsid w:val="00927EF6"/>
    <w:rsid w:val="009344A8"/>
    <w:rsid w:val="00944E4D"/>
    <w:rsid w:val="009557D5"/>
    <w:rsid w:val="00962B49"/>
    <w:rsid w:val="009A0AF0"/>
    <w:rsid w:val="009A58CD"/>
    <w:rsid w:val="009C120C"/>
    <w:rsid w:val="009C63B5"/>
    <w:rsid w:val="009D3AD7"/>
    <w:rsid w:val="009F05ED"/>
    <w:rsid w:val="00A01F37"/>
    <w:rsid w:val="00A034E5"/>
    <w:rsid w:val="00A05E9F"/>
    <w:rsid w:val="00A130A0"/>
    <w:rsid w:val="00A4752D"/>
    <w:rsid w:val="00A57A96"/>
    <w:rsid w:val="00A6252D"/>
    <w:rsid w:val="00A674CB"/>
    <w:rsid w:val="00A77DF1"/>
    <w:rsid w:val="00A87FD8"/>
    <w:rsid w:val="00A9481D"/>
    <w:rsid w:val="00A95158"/>
    <w:rsid w:val="00A96B3B"/>
    <w:rsid w:val="00AA7D85"/>
    <w:rsid w:val="00AB1EE7"/>
    <w:rsid w:val="00AD1E15"/>
    <w:rsid w:val="00AE59EB"/>
    <w:rsid w:val="00AF1908"/>
    <w:rsid w:val="00AF1E4B"/>
    <w:rsid w:val="00B2283D"/>
    <w:rsid w:val="00B261ED"/>
    <w:rsid w:val="00B3216A"/>
    <w:rsid w:val="00B4337B"/>
    <w:rsid w:val="00B540BC"/>
    <w:rsid w:val="00B65458"/>
    <w:rsid w:val="00B65CC0"/>
    <w:rsid w:val="00BB6FBF"/>
    <w:rsid w:val="00BB76DE"/>
    <w:rsid w:val="00BC45DD"/>
    <w:rsid w:val="00BC5E69"/>
    <w:rsid w:val="00C055CB"/>
    <w:rsid w:val="00C134FD"/>
    <w:rsid w:val="00C17367"/>
    <w:rsid w:val="00C21A92"/>
    <w:rsid w:val="00C30924"/>
    <w:rsid w:val="00C43135"/>
    <w:rsid w:val="00C535EA"/>
    <w:rsid w:val="00C73F79"/>
    <w:rsid w:val="00C75DEC"/>
    <w:rsid w:val="00C83E54"/>
    <w:rsid w:val="00C87E60"/>
    <w:rsid w:val="00C96314"/>
    <w:rsid w:val="00CC33F5"/>
    <w:rsid w:val="00CC3460"/>
    <w:rsid w:val="00CD7171"/>
    <w:rsid w:val="00CE0448"/>
    <w:rsid w:val="00CE2AFE"/>
    <w:rsid w:val="00CE35EB"/>
    <w:rsid w:val="00CE78E1"/>
    <w:rsid w:val="00CF045F"/>
    <w:rsid w:val="00D15440"/>
    <w:rsid w:val="00D1774E"/>
    <w:rsid w:val="00D201C8"/>
    <w:rsid w:val="00D20B05"/>
    <w:rsid w:val="00D20B2A"/>
    <w:rsid w:val="00D20C23"/>
    <w:rsid w:val="00D33BDA"/>
    <w:rsid w:val="00D52ED1"/>
    <w:rsid w:val="00D55C6C"/>
    <w:rsid w:val="00D67F4E"/>
    <w:rsid w:val="00D76889"/>
    <w:rsid w:val="00D80C46"/>
    <w:rsid w:val="00D82C7F"/>
    <w:rsid w:val="00D90574"/>
    <w:rsid w:val="00D91F74"/>
    <w:rsid w:val="00D95427"/>
    <w:rsid w:val="00DA442E"/>
    <w:rsid w:val="00DB42A6"/>
    <w:rsid w:val="00DB4F41"/>
    <w:rsid w:val="00DC4AD7"/>
    <w:rsid w:val="00DD0BA1"/>
    <w:rsid w:val="00DD2781"/>
    <w:rsid w:val="00DE50CE"/>
    <w:rsid w:val="00DE5B7E"/>
    <w:rsid w:val="00DF40BF"/>
    <w:rsid w:val="00DF422F"/>
    <w:rsid w:val="00E01A9E"/>
    <w:rsid w:val="00E16875"/>
    <w:rsid w:val="00E17D48"/>
    <w:rsid w:val="00E205F6"/>
    <w:rsid w:val="00E2146D"/>
    <w:rsid w:val="00E30A81"/>
    <w:rsid w:val="00E37833"/>
    <w:rsid w:val="00E427CF"/>
    <w:rsid w:val="00E6072A"/>
    <w:rsid w:val="00E757E2"/>
    <w:rsid w:val="00E923B4"/>
    <w:rsid w:val="00EB2CAC"/>
    <w:rsid w:val="00EB5D2F"/>
    <w:rsid w:val="00EC03CC"/>
    <w:rsid w:val="00EC2917"/>
    <w:rsid w:val="00EF09AC"/>
    <w:rsid w:val="00F0287C"/>
    <w:rsid w:val="00F25C9B"/>
    <w:rsid w:val="00F65C1C"/>
    <w:rsid w:val="00F805B7"/>
    <w:rsid w:val="00F866DF"/>
    <w:rsid w:val="00F979F3"/>
    <w:rsid w:val="00FA7D49"/>
    <w:rsid w:val="00FB1889"/>
    <w:rsid w:val="00FB1B6A"/>
    <w:rsid w:val="00FD5B1D"/>
    <w:rsid w:val="00FD6758"/>
    <w:rsid w:val="00FE24D5"/>
    <w:rsid w:val="00FE2CC8"/>
    <w:rsid w:val="00FE39C7"/>
    <w:rsid w:val="00FF0E45"/>
    <w:rsid w:val="00FF65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B329"/>
  <w15:chartTrackingRefBased/>
  <w15:docId w15:val="{1FDD7FDA-7325-4E16-8420-B6E5647F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33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05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F0E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B2C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001"/>
    <w:pPr>
      <w:ind w:left="720"/>
      <w:contextualSpacing/>
    </w:pPr>
  </w:style>
  <w:style w:type="paragraph" w:styleId="FootnoteText">
    <w:name w:val="footnote text"/>
    <w:basedOn w:val="Normal"/>
    <w:link w:val="FootnoteTextChar"/>
    <w:uiPriority w:val="99"/>
    <w:semiHidden/>
    <w:unhideWhenUsed/>
    <w:rsid w:val="00033A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3A94"/>
    <w:rPr>
      <w:sz w:val="20"/>
      <w:szCs w:val="20"/>
    </w:rPr>
  </w:style>
  <w:style w:type="character" w:styleId="FootnoteReference">
    <w:name w:val="footnote reference"/>
    <w:basedOn w:val="DefaultParagraphFont"/>
    <w:uiPriority w:val="99"/>
    <w:semiHidden/>
    <w:unhideWhenUsed/>
    <w:rsid w:val="00033A94"/>
    <w:rPr>
      <w:vertAlign w:val="superscript"/>
    </w:rPr>
  </w:style>
  <w:style w:type="character" w:customStyle="1" w:styleId="Heading2Char">
    <w:name w:val="Heading 2 Char"/>
    <w:basedOn w:val="DefaultParagraphFont"/>
    <w:link w:val="Heading2"/>
    <w:uiPriority w:val="9"/>
    <w:rsid w:val="00F805B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F0E4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B2CAC"/>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D4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BDE"/>
  </w:style>
  <w:style w:type="paragraph" w:styleId="Footer">
    <w:name w:val="footer"/>
    <w:basedOn w:val="Normal"/>
    <w:link w:val="FooterChar"/>
    <w:uiPriority w:val="99"/>
    <w:unhideWhenUsed/>
    <w:rsid w:val="006D4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BDE"/>
  </w:style>
  <w:style w:type="paragraph" w:styleId="EndnoteText">
    <w:name w:val="endnote text"/>
    <w:basedOn w:val="Normal"/>
    <w:link w:val="EndnoteTextChar"/>
    <w:uiPriority w:val="99"/>
    <w:unhideWhenUsed/>
    <w:rsid w:val="00F0287C"/>
    <w:pPr>
      <w:spacing w:after="0" w:line="240" w:lineRule="auto"/>
    </w:pPr>
    <w:rPr>
      <w:sz w:val="20"/>
      <w:szCs w:val="20"/>
    </w:rPr>
  </w:style>
  <w:style w:type="character" w:customStyle="1" w:styleId="EndnoteTextChar">
    <w:name w:val="Endnote Text Char"/>
    <w:basedOn w:val="DefaultParagraphFont"/>
    <w:link w:val="EndnoteText"/>
    <w:uiPriority w:val="99"/>
    <w:rsid w:val="00F0287C"/>
    <w:rPr>
      <w:sz w:val="20"/>
      <w:szCs w:val="20"/>
    </w:rPr>
  </w:style>
  <w:style w:type="character" w:styleId="EndnoteReference">
    <w:name w:val="endnote reference"/>
    <w:basedOn w:val="DefaultParagraphFont"/>
    <w:uiPriority w:val="99"/>
    <w:semiHidden/>
    <w:unhideWhenUsed/>
    <w:rsid w:val="00F0287C"/>
    <w:rPr>
      <w:vertAlign w:val="superscript"/>
    </w:rPr>
  </w:style>
  <w:style w:type="character" w:customStyle="1" w:styleId="Heading1Char">
    <w:name w:val="Heading 1 Char"/>
    <w:basedOn w:val="DefaultParagraphFont"/>
    <w:link w:val="Heading1"/>
    <w:uiPriority w:val="9"/>
    <w:rsid w:val="000833F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833FA"/>
    <w:pPr>
      <w:outlineLvl w:val="9"/>
    </w:pPr>
    <w:rPr>
      <w:lang w:val="en-US"/>
    </w:rPr>
  </w:style>
  <w:style w:type="paragraph" w:styleId="TOC2">
    <w:name w:val="toc 2"/>
    <w:basedOn w:val="Normal"/>
    <w:next w:val="Normal"/>
    <w:autoRedefine/>
    <w:uiPriority w:val="39"/>
    <w:unhideWhenUsed/>
    <w:rsid w:val="000833FA"/>
    <w:pPr>
      <w:spacing w:after="100"/>
      <w:ind w:left="220"/>
    </w:pPr>
  </w:style>
  <w:style w:type="paragraph" w:styleId="TOC3">
    <w:name w:val="toc 3"/>
    <w:basedOn w:val="Normal"/>
    <w:next w:val="Normal"/>
    <w:autoRedefine/>
    <w:uiPriority w:val="39"/>
    <w:unhideWhenUsed/>
    <w:rsid w:val="000833FA"/>
    <w:pPr>
      <w:spacing w:after="100"/>
      <w:ind w:left="440"/>
    </w:pPr>
  </w:style>
  <w:style w:type="character" w:styleId="Hyperlink">
    <w:name w:val="Hyperlink"/>
    <w:basedOn w:val="DefaultParagraphFont"/>
    <w:uiPriority w:val="99"/>
    <w:unhideWhenUsed/>
    <w:rsid w:val="000833FA"/>
    <w:rPr>
      <w:color w:val="0563C1" w:themeColor="hyperlink"/>
      <w:u w:val="single"/>
    </w:rPr>
  </w:style>
  <w:style w:type="character" w:customStyle="1" w:styleId="UnresolvedMention">
    <w:name w:val="Unresolved Mention"/>
    <w:basedOn w:val="DefaultParagraphFont"/>
    <w:uiPriority w:val="99"/>
    <w:semiHidden/>
    <w:unhideWhenUsed/>
    <w:rsid w:val="00D17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8134">
      <w:bodyDiv w:val="1"/>
      <w:marLeft w:val="0"/>
      <w:marRight w:val="0"/>
      <w:marTop w:val="0"/>
      <w:marBottom w:val="0"/>
      <w:divBdr>
        <w:top w:val="none" w:sz="0" w:space="0" w:color="auto"/>
        <w:left w:val="none" w:sz="0" w:space="0" w:color="auto"/>
        <w:bottom w:val="none" w:sz="0" w:space="0" w:color="auto"/>
        <w:right w:val="none" w:sz="0" w:space="0" w:color="auto"/>
      </w:divBdr>
    </w:div>
    <w:div w:id="1819153917">
      <w:bodyDiv w:val="1"/>
      <w:marLeft w:val="0"/>
      <w:marRight w:val="0"/>
      <w:marTop w:val="0"/>
      <w:marBottom w:val="0"/>
      <w:divBdr>
        <w:top w:val="none" w:sz="0" w:space="0" w:color="auto"/>
        <w:left w:val="none" w:sz="0" w:space="0" w:color="auto"/>
        <w:bottom w:val="none" w:sz="0" w:space="0" w:color="auto"/>
        <w:right w:val="none" w:sz="0" w:space="0" w:color="auto"/>
      </w:divBdr>
    </w:div>
    <w:div w:id="196503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infrastructure.org.au/our-board/" TargetMode="External"/><Relationship Id="rId13" Type="http://schemas.openxmlformats.org/officeDocument/2006/relationships/hyperlink" Target="https://johnmenadue.com/john-austen-does-infrastructure-australia-understand-its-ideas-for-public-transport-franchising/" TargetMode="External"/><Relationship Id="rId18" Type="http://schemas.openxmlformats.org/officeDocument/2006/relationships/hyperlink" Target="https://johnmenadue.com/john-austen-australian-freight-policy-after-the-chainsaw-part-3/" TargetMode="External"/><Relationship Id="rId3" Type="http://schemas.openxmlformats.org/officeDocument/2006/relationships/hyperlink" Target="https://www.cgc.gov.au/" TargetMode="External"/><Relationship Id="rId7" Type="http://schemas.openxmlformats.org/officeDocument/2006/relationships/hyperlink" Target="https://infrastructureaustralia.gov.au/" TargetMode="External"/><Relationship Id="rId12" Type="http://schemas.openxmlformats.org/officeDocument/2006/relationships/hyperlink" Target="https://johnmenadue.com/john-austen-doubts-about-infrastructure-go-beyond-sydney-metro/" TargetMode="External"/><Relationship Id="rId17" Type="http://schemas.openxmlformats.org/officeDocument/2006/relationships/hyperlink" Target="https://www.thejadebeagle.com/a-job-for-hollywood-harold.html" TargetMode="External"/><Relationship Id="rId2" Type="http://schemas.openxmlformats.org/officeDocument/2006/relationships/hyperlink" Target="https://www.thejadebeagle.com/austral-obscura-2.html" TargetMode="External"/><Relationship Id="rId16" Type="http://schemas.openxmlformats.org/officeDocument/2006/relationships/hyperlink" Target="https://www.thejadebeagle.com/austral-obscura-2.html" TargetMode="External"/><Relationship Id="rId1" Type="http://schemas.openxmlformats.org/officeDocument/2006/relationships/hyperlink" Target="https://www.finance.gov.au/sites/default/files/types-of-bodies.pdf?v=1" TargetMode="External"/><Relationship Id="rId6" Type="http://schemas.openxmlformats.org/officeDocument/2006/relationships/hyperlink" Target="https://www.pc.gov.au/research/completed/gte0607" TargetMode="External"/><Relationship Id="rId11" Type="http://schemas.openxmlformats.org/officeDocument/2006/relationships/hyperlink" Target="https://johnmenadue.com/john-austen-infrastructure-advice-worse-than-expected/" TargetMode="External"/><Relationship Id="rId5" Type="http://schemas.openxmlformats.org/officeDocument/2006/relationships/hyperlink" Target="https://www.finance.gov.au/resource-management/governance/overview/" TargetMode="External"/><Relationship Id="rId15" Type="http://schemas.openxmlformats.org/officeDocument/2006/relationships/hyperlink" Target="https://lpaweb-static.s3.amazonaws.com/13-09-05%20Coalition%202013%20Election%20Policy%20%E2%80%93%20Better%20Infrastructure%20Planning%20%E2%80%93%20policy%20document.pdf" TargetMode="External"/><Relationship Id="rId10" Type="http://schemas.openxmlformats.org/officeDocument/2006/relationships/hyperlink" Target="https://parlinfo.aph.gov.au/parlInfo/genpdf/chamber/hansards/83688ae6-f170-4f32-a8f6-d8a971c587c8/0153/hansard_frag.pdf;fileType=application%2Fpdf" TargetMode="External"/><Relationship Id="rId4" Type="http://schemas.openxmlformats.org/officeDocument/2006/relationships/hyperlink" Target="https://www.thejadebeagle.com/federal-state-relations.html" TargetMode="External"/><Relationship Id="rId9" Type="http://schemas.openxmlformats.org/officeDocument/2006/relationships/hyperlink" Target="https://johnmenadue.com/john-austen-revolving-doors-at-the-infrastructure-club/" TargetMode="External"/><Relationship Id="rId14" Type="http://schemas.openxmlformats.org/officeDocument/2006/relationships/hyperlink" Target="https://www.thejadebeagle.com/the-dog-that-didnt-bar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ShareHubID xmlns="166541c0-0594-4e6a-9105-c24d4b6de6f7">DOC19-444891</ShareHubID>
    <TaxCatchAll xmlns="166541c0-0594-4e6a-9105-c24d4b6de6f7">
      <Value>39</Value>
      <Value>57</Value>
    </TaxCatchAll>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Election</TermName>
          <TermId xmlns="http://schemas.microsoft.com/office/infopath/2007/PartnerControls">4090d51f-fccc-4f41-80dd-86270166a8a3</TermId>
        </TermInfo>
      </Terms>
    </hc4a8f51d7584793bcee84017ea96cb3>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6AC88490-DB99-40B5-9022-59EB4F6E4E1A}">
  <ds:schemaRefs>
    <ds:schemaRef ds:uri="http://schemas.openxmlformats.org/officeDocument/2006/bibliography"/>
  </ds:schemaRefs>
</ds:datastoreItem>
</file>

<file path=customXml/itemProps2.xml><?xml version="1.0" encoding="utf-8"?>
<ds:datastoreItem xmlns:ds="http://schemas.openxmlformats.org/officeDocument/2006/customXml" ds:itemID="{8F2EFE41-796B-4341-8188-04F0606A6982}"/>
</file>

<file path=customXml/itemProps3.xml><?xml version="1.0" encoding="utf-8"?>
<ds:datastoreItem xmlns:ds="http://schemas.openxmlformats.org/officeDocument/2006/customXml" ds:itemID="{87DC54C7-3965-45E8-8D57-BC6993F1F766}"/>
</file>

<file path=customXml/itemProps4.xml><?xml version="1.0" encoding="utf-8"?>
<ds:datastoreItem xmlns:ds="http://schemas.openxmlformats.org/officeDocument/2006/customXml" ds:itemID="{B8C8BD93-1438-499C-8F32-D353D440F08D}"/>
</file>

<file path=docProps/app.xml><?xml version="1.0" encoding="utf-8"?>
<Properties xmlns="http://schemas.openxmlformats.org/officeDocument/2006/extended-properties" xmlns:vt="http://schemas.openxmlformats.org/officeDocument/2006/docPropsVTypes">
  <Template>Normal</Template>
  <TotalTime>1</TotalTime>
  <Pages>15</Pages>
  <Words>5260</Words>
  <Characters>29988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Austen</dc:creator>
  <cp:keywords/>
  <dc:description/>
  <cp:lastModifiedBy>Thauvette, Sally</cp:lastModifiedBy>
  <cp:revision>2</cp:revision>
  <dcterms:created xsi:type="dcterms:W3CDTF">2019-05-16T00:49:00Z</dcterms:created>
  <dcterms:modified xsi:type="dcterms:W3CDTF">2019-05-16T00:49:00Z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earchTags">
    <vt:lpwstr>39;#Election|4090d51f-fccc-4f41-80dd-86270166a8a3</vt:lpwstr>
  </property>
  <property fmtid="{D5CDD505-2E9C-101B-9397-08002B2CF9AE}" pid="3" name="PMC.ESearch.TagGeneratedTime">
    <vt:lpwstr>2019-12-09T15:21:57</vt:lpwstr>
  </property>
  <property fmtid="{D5CDD505-2E9C-101B-9397-08002B2CF9AE}" pid="4" name="HPRMSecurityLevel">
    <vt:lpwstr>57;#OFFICIAL|11463c70-78df-4e3b-b0ff-f66cd3cb26ec</vt:lpwstr>
  </property>
  <property fmtid="{D5CDD505-2E9C-101B-9397-08002B2CF9AE}" pid="5" name="ContentTypeId">
    <vt:lpwstr>0x0101002825A64A6E1845A99A9D8EE8A5686ECB009B58D7D72C3ED54C851955501673F8AC</vt:lpwstr>
  </property>
  <property fmtid="{D5CDD505-2E9C-101B-9397-08002B2CF9AE}" pid="6" name="HPRMSecurityCaveat">
    <vt:lpwstr/>
  </property>
</Properties>
</file>