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95EC" w14:textId="734BCB10" w:rsidR="00FD0CC3" w:rsidRPr="00B250EF" w:rsidRDefault="00B250EF" w:rsidP="00822973">
      <w:pPr>
        <w:pStyle w:val="Heading2"/>
        <w:spacing w:after="0"/>
        <w:rPr>
          <w:sz w:val="30"/>
          <w:szCs w:val="30"/>
        </w:rPr>
      </w:pPr>
      <w:r w:rsidRPr="00B250EF">
        <w:rPr>
          <w:sz w:val="30"/>
          <w:szCs w:val="30"/>
        </w:rPr>
        <w:t>Submission to the Independent Review of the Australian Public Service</w:t>
      </w:r>
    </w:p>
    <w:p w14:paraId="0F31EC63" w14:textId="77777777" w:rsidR="00FD0CC3" w:rsidRPr="00FD0CC3" w:rsidRDefault="00FD0CC3" w:rsidP="00FD0CC3">
      <w:pPr>
        <w:pBdr>
          <w:bottom w:val="single" w:sz="4" w:space="1" w:color="auto"/>
        </w:pBdr>
        <w:rPr>
          <w:lang w:val="en-GB"/>
        </w:rPr>
      </w:pPr>
    </w:p>
    <w:p w14:paraId="314C7C09" w14:textId="38EE23CE" w:rsidR="00FD0CC3" w:rsidRDefault="00FD0CC3" w:rsidP="00E105B9">
      <w:pPr>
        <w:snapToGrid w:val="0"/>
        <w:spacing w:after="0"/>
      </w:pPr>
      <w:r>
        <w:t xml:space="preserve">University of Melbourne  </w:t>
      </w:r>
      <w:r>
        <w:br/>
        <w:t>Australian National Development Index (ANDI) Limited</w:t>
      </w:r>
      <w:r w:rsidR="0011146F">
        <w:br/>
      </w:r>
      <w:r>
        <w:t>31 July 2018</w:t>
      </w:r>
    </w:p>
    <w:p w14:paraId="22E05A3F" w14:textId="13F2F682" w:rsidR="008F334A" w:rsidRDefault="008F334A" w:rsidP="00E105B9">
      <w:pPr>
        <w:snapToGrid w:val="0"/>
        <w:spacing w:after="0"/>
      </w:pPr>
    </w:p>
    <w:p w14:paraId="6AE7A7F9" w14:textId="4D62221D" w:rsidR="008F334A" w:rsidRDefault="008F334A" w:rsidP="00E105B9">
      <w:pPr>
        <w:snapToGrid w:val="0"/>
        <w:spacing w:after="0"/>
      </w:pPr>
      <w:r>
        <w:t>Mike Salvaris</w:t>
      </w:r>
      <w:r>
        <w:rPr>
          <w:rStyle w:val="FootnoteReference"/>
        </w:rPr>
        <w:footnoteReference w:id="1"/>
      </w:r>
    </w:p>
    <w:p w14:paraId="17440731" w14:textId="19F3A476" w:rsidR="008F334A" w:rsidRDefault="008F334A" w:rsidP="00E105B9">
      <w:pPr>
        <w:snapToGrid w:val="0"/>
        <w:spacing w:after="0"/>
      </w:pPr>
      <w:r>
        <w:t>Fiona Stanley</w:t>
      </w:r>
      <w:r w:rsidR="004D11B2">
        <w:t xml:space="preserve"> AC</w:t>
      </w:r>
      <w:r w:rsidR="004D11B2">
        <w:rPr>
          <w:rStyle w:val="FootnoteReference"/>
        </w:rPr>
        <w:footnoteReference w:id="2"/>
      </w:r>
    </w:p>
    <w:p w14:paraId="5C0092BE" w14:textId="626B1E35" w:rsidR="008F334A" w:rsidRDefault="008F334A" w:rsidP="00E105B9">
      <w:pPr>
        <w:snapToGrid w:val="0"/>
        <w:spacing w:after="0"/>
      </w:pPr>
      <w:r>
        <w:t>Barry McGaw</w:t>
      </w:r>
      <w:r w:rsidR="004D11B2">
        <w:t xml:space="preserve"> AO</w:t>
      </w:r>
      <w:r w:rsidR="004D11B2">
        <w:rPr>
          <w:rStyle w:val="FootnoteReference"/>
        </w:rPr>
        <w:footnoteReference w:id="3"/>
      </w:r>
    </w:p>
    <w:p w14:paraId="7DDD449B" w14:textId="77777777" w:rsidR="00FD0CC3" w:rsidRDefault="00FD0CC3" w:rsidP="00FD0CC3">
      <w:pPr>
        <w:pBdr>
          <w:bottom w:val="single" w:sz="4" w:space="1" w:color="auto"/>
        </w:pBdr>
      </w:pPr>
    </w:p>
    <w:p w14:paraId="6E833E78" w14:textId="77777777" w:rsidR="0011146F" w:rsidRPr="00E105B9" w:rsidRDefault="0011146F" w:rsidP="00CB1D10">
      <w:pPr>
        <w:pStyle w:val="Heading2"/>
        <w:rPr>
          <w:sz w:val="10"/>
          <w:szCs w:val="10"/>
        </w:rPr>
      </w:pPr>
    </w:p>
    <w:p w14:paraId="6ACFE1CC" w14:textId="0A9418AC" w:rsidR="008411BD" w:rsidRDefault="008411BD" w:rsidP="00CB1D10">
      <w:pPr>
        <w:pStyle w:val="Heading2"/>
      </w:pPr>
      <w:r w:rsidRPr="008411BD">
        <w:t>1. Summary of submission</w:t>
      </w:r>
    </w:p>
    <w:p w14:paraId="34230022" w14:textId="4670EBA1" w:rsidR="00254597" w:rsidRPr="00B250EF" w:rsidRDefault="00244E60" w:rsidP="00B250EF">
      <w:pPr>
        <w:rPr>
          <w:i/>
          <w:sz w:val="20"/>
          <w:szCs w:val="20"/>
        </w:rPr>
      </w:pPr>
      <w:r w:rsidRPr="00B250EF">
        <w:rPr>
          <w:i/>
          <w:sz w:val="20"/>
          <w:szCs w:val="20"/>
        </w:rPr>
        <w:t xml:space="preserve">This submission </w:t>
      </w:r>
      <w:r w:rsidR="001D1BB2" w:rsidRPr="00B250EF">
        <w:rPr>
          <w:i/>
          <w:sz w:val="20"/>
          <w:szCs w:val="20"/>
        </w:rPr>
        <w:t>is made by the Un</w:t>
      </w:r>
      <w:r w:rsidRPr="00B250EF">
        <w:rPr>
          <w:i/>
          <w:sz w:val="20"/>
          <w:szCs w:val="20"/>
        </w:rPr>
        <w:t xml:space="preserve">iversity of </w:t>
      </w:r>
      <w:r w:rsidR="001D1BB2" w:rsidRPr="00B250EF">
        <w:rPr>
          <w:i/>
          <w:sz w:val="20"/>
          <w:szCs w:val="20"/>
        </w:rPr>
        <w:t>Melbourne (UoM) and Australian N</w:t>
      </w:r>
      <w:r w:rsidRPr="00B250EF">
        <w:rPr>
          <w:i/>
          <w:sz w:val="20"/>
          <w:szCs w:val="20"/>
        </w:rPr>
        <w:t xml:space="preserve">ational </w:t>
      </w:r>
      <w:r w:rsidR="001D1BB2" w:rsidRPr="00B250EF">
        <w:rPr>
          <w:i/>
          <w:sz w:val="20"/>
          <w:szCs w:val="20"/>
        </w:rPr>
        <w:t>D</w:t>
      </w:r>
      <w:r w:rsidRPr="00B250EF">
        <w:rPr>
          <w:i/>
          <w:sz w:val="20"/>
          <w:szCs w:val="20"/>
        </w:rPr>
        <w:t>evelop</w:t>
      </w:r>
      <w:r w:rsidR="001D1BB2" w:rsidRPr="00B250EF">
        <w:rPr>
          <w:i/>
          <w:sz w:val="20"/>
          <w:szCs w:val="20"/>
        </w:rPr>
        <w:t>m</w:t>
      </w:r>
      <w:r w:rsidRPr="00B250EF">
        <w:rPr>
          <w:i/>
          <w:sz w:val="20"/>
          <w:szCs w:val="20"/>
        </w:rPr>
        <w:t>ent Index</w:t>
      </w:r>
      <w:r w:rsidR="001D1BB2" w:rsidRPr="00B250EF">
        <w:rPr>
          <w:i/>
          <w:sz w:val="20"/>
          <w:szCs w:val="20"/>
        </w:rPr>
        <w:t xml:space="preserve"> Limited (ANDI), a no</w:t>
      </w:r>
      <w:r w:rsidR="00293492">
        <w:rPr>
          <w:i/>
          <w:sz w:val="20"/>
          <w:szCs w:val="20"/>
        </w:rPr>
        <w:t>t</w:t>
      </w:r>
      <w:r w:rsidR="001D1BB2" w:rsidRPr="00B250EF">
        <w:rPr>
          <w:i/>
          <w:sz w:val="20"/>
          <w:szCs w:val="20"/>
        </w:rPr>
        <w:t>-for-profit public</w:t>
      </w:r>
      <w:r w:rsidRPr="00B250EF">
        <w:rPr>
          <w:i/>
          <w:sz w:val="20"/>
          <w:szCs w:val="20"/>
        </w:rPr>
        <w:t xml:space="preserve"> c</w:t>
      </w:r>
      <w:r w:rsidR="001D1BB2" w:rsidRPr="00B250EF">
        <w:rPr>
          <w:i/>
          <w:sz w:val="20"/>
          <w:szCs w:val="20"/>
        </w:rPr>
        <w:t>orpor</w:t>
      </w:r>
      <w:r w:rsidRPr="00B250EF">
        <w:rPr>
          <w:i/>
          <w:sz w:val="20"/>
          <w:szCs w:val="20"/>
        </w:rPr>
        <w:t>ation,</w:t>
      </w:r>
      <w:r w:rsidR="001D1BB2" w:rsidRPr="00B250EF">
        <w:rPr>
          <w:i/>
          <w:sz w:val="20"/>
          <w:szCs w:val="20"/>
        </w:rPr>
        <w:t xml:space="preserve"> with </w:t>
      </w:r>
      <w:r w:rsidR="00C810FE" w:rsidRPr="00B250EF">
        <w:rPr>
          <w:i/>
          <w:sz w:val="20"/>
          <w:szCs w:val="20"/>
        </w:rPr>
        <w:t>member organisations</w:t>
      </w:r>
      <w:r w:rsidR="001D1BB2" w:rsidRPr="00B250EF">
        <w:rPr>
          <w:i/>
          <w:sz w:val="20"/>
          <w:szCs w:val="20"/>
        </w:rPr>
        <w:t xml:space="preserve"> from many </w:t>
      </w:r>
      <w:r w:rsidR="00FD0CC3" w:rsidRPr="00B250EF">
        <w:rPr>
          <w:i/>
          <w:sz w:val="20"/>
          <w:szCs w:val="20"/>
        </w:rPr>
        <w:t xml:space="preserve">diverse </w:t>
      </w:r>
      <w:r w:rsidR="001D1BB2" w:rsidRPr="00B250EF">
        <w:rPr>
          <w:i/>
          <w:sz w:val="20"/>
          <w:szCs w:val="20"/>
        </w:rPr>
        <w:t>community sectors.</w:t>
      </w:r>
      <w:r w:rsidR="001D1BB2" w:rsidRPr="00B250EF">
        <w:rPr>
          <w:rStyle w:val="FootnoteReference"/>
          <w:i/>
          <w:sz w:val="20"/>
          <w:szCs w:val="20"/>
        </w:rPr>
        <w:footnoteReference w:id="4"/>
      </w:r>
      <w:r w:rsidR="001D1BB2" w:rsidRPr="00B250EF">
        <w:rPr>
          <w:i/>
          <w:sz w:val="20"/>
          <w:szCs w:val="20"/>
        </w:rPr>
        <w:t xml:space="preserve"> </w:t>
      </w:r>
      <w:r w:rsidR="00E21D08" w:rsidRPr="00B250EF">
        <w:rPr>
          <w:i/>
          <w:sz w:val="20"/>
          <w:szCs w:val="20"/>
        </w:rPr>
        <w:t xml:space="preserve">UoM and ANDI are partners in </w:t>
      </w:r>
      <w:r w:rsidR="00617540" w:rsidRPr="00B250EF">
        <w:rPr>
          <w:i/>
          <w:sz w:val="20"/>
          <w:szCs w:val="20"/>
        </w:rPr>
        <w:t>a major</w:t>
      </w:r>
      <w:r w:rsidR="00E21D08" w:rsidRPr="00B250EF">
        <w:rPr>
          <w:i/>
          <w:sz w:val="20"/>
          <w:szCs w:val="20"/>
        </w:rPr>
        <w:t xml:space="preserve"> national project to develop </w:t>
      </w:r>
      <w:r w:rsidR="00523E23" w:rsidRPr="00B250EF">
        <w:rPr>
          <w:i/>
          <w:sz w:val="20"/>
          <w:szCs w:val="20"/>
        </w:rPr>
        <w:t xml:space="preserve">ongoing </w:t>
      </w:r>
      <w:r w:rsidR="00E21D08" w:rsidRPr="00B250EF">
        <w:rPr>
          <w:i/>
          <w:sz w:val="20"/>
          <w:szCs w:val="20"/>
        </w:rPr>
        <w:t>new measures of Australia’s progress</w:t>
      </w:r>
      <w:r w:rsidR="00A63D45" w:rsidRPr="00B250EF">
        <w:rPr>
          <w:i/>
          <w:sz w:val="20"/>
          <w:szCs w:val="20"/>
        </w:rPr>
        <w:t xml:space="preserve"> </w:t>
      </w:r>
      <w:r w:rsidR="00E21D08" w:rsidRPr="00B250EF">
        <w:rPr>
          <w:i/>
          <w:sz w:val="20"/>
          <w:szCs w:val="20"/>
        </w:rPr>
        <w:t>based on community engagement and research.</w:t>
      </w:r>
    </w:p>
    <w:p w14:paraId="0F896CB1" w14:textId="750C5A99" w:rsidR="00E21D08" w:rsidRPr="00B250EF" w:rsidRDefault="00254597" w:rsidP="00B250EF">
      <w:pPr>
        <w:rPr>
          <w:i/>
          <w:sz w:val="20"/>
          <w:szCs w:val="20"/>
        </w:rPr>
      </w:pPr>
      <w:r w:rsidRPr="00B250EF">
        <w:rPr>
          <w:i/>
          <w:sz w:val="20"/>
          <w:szCs w:val="20"/>
        </w:rPr>
        <w:t xml:space="preserve">The submission </w:t>
      </w:r>
      <w:r w:rsidR="00CB1D10" w:rsidRPr="00B250EF">
        <w:rPr>
          <w:i/>
          <w:sz w:val="20"/>
          <w:szCs w:val="20"/>
        </w:rPr>
        <w:t>proposes</w:t>
      </w:r>
      <w:r w:rsidRPr="00B250EF">
        <w:rPr>
          <w:i/>
          <w:sz w:val="20"/>
          <w:szCs w:val="20"/>
        </w:rPr>
        <w:t xml:space="preserve"> that the </w:t>
      </w:r>
      <w:r w:rsidR="00F6609A" w:rsidRPr="00B250EF">
        <w:rPr>
          <w:i/>
          <w:sz w:val="20"/>
          <w:szCs w:val="20"/>
        </w:rPr>
        <w:t>UoM-</w:t>
      </w:r>
      <w:r w:rsidR="00E21D08" w:rsidRPr="00B250EF">
        <w:rPr>
          <w:i/>
          <w:sz w:val="20"/>
          <w:szCs w:val="20"/>
        </w:rPr>
        <w:t>ANDI project could</w:t>
      </w:r>
      <w:r w:rsidR="00617540" w:rsidRPr="00B250EF">
        <w:rPr>
          <w:i/>
          <w:sz w:val="20"/>
          <w:szCs w:val="20"/>
        </w:rPr>
        <w:t xml:space="preserve"> provide a</w:t>
      </w:r>
      <w:r w:rsidR="00FB5DFB" w:rsidRPr="00B250EF">
        <w:rPr>
          <w:i/>
          <w:sz w:val="20"/>
          <w:szCs w:val="20"/>
        </w:rPr>
        <w:t xml:space="preserve"> </w:t>
      </w:r>
      <w:r w:rsidR="00E21D08" w:rsidRPr="00B250EF">
        <w:rPr>
          <w:i/>
          <w:sz w:val="20"/>
          <w:szCs w:val="20"/>
        </w:rPr>
        <w:t xml:space="preserve">valuable </w:t>
      </w:r>
      <w:r w:rsidR="00FB5DFB" w:rsidRPr="00B250EF">
        <w:rPr>
          <w:i/>
          <w:sz w:val="20"/>
          <w:szCs w:val="20"/>
        </w:rPr>
        <w:t xml:space="preserve">model for the Inquiry in </w:t>
      </w:r>
      <w:r w:rsidR="00617540" w:rsidRPr="00B250EF">
        <w:rPr>
          <w:i/>
          <w:sz w:val="20"/>
          <w:szCs w:val="20"/>
        </w:rPr>
        <w:t>four</w:t>
      </w:r>
      <w:r w:rsidR="00E21D08" w:rsidRPr="00B250EF">
        <w:rPr>
          <w:i/>
          <w:sz w:val="20"/>
          <w:szCs w:val="20"/>
        </w:rPr>
        <w:t xml:space="preserve"> of </w:t>
      </w:r>
      <w:r w:rsidR="00617540" w:rsidRPr="00B250EF">
        <w:rPr>
          <w:i/>
          <w:sz w:val="20"/>
          <w:szCs w:val="20"/>
        </w:rPr>
        <w:t xml:space="preserve">its </w:t>
      </w:r>
      <w:r w:rsidR="00E21D08" w:rsidRPr="00B250EF">
        <w:rPr>
          <w:i/>
          <w:sz w:val="20"/>
          <w:szCs w:val="20"/>
        </w:rPr>
        <w:t xml:space="preserve">key </w:t>
      </w:r>
      <w:r w:rsidR="00617540" w:rsidRPr="00B250EF">
        <w:rPr>
          <w:i/>
          <w:sz w:val="20"/>
          <w:szCs w:val="20"/>
        </w:rPr>
        <w:t>focus areas:</w:t>
      </w:r>
      <w:r w:rsidR="0011146F" w:rsidRPr="00B250EF">
        <w:rPr>
          <w:i/>
          <w:sz w:val="20"/>
          <w:szCs w:val="20"/>
        </w:rPr>
        <w:t xml:space="preserve"> 1) </w:t>
      </w:r>
      <w:r w:rsidR="00E21D08" w:rsidRPr="00B250EF">
        <w:rPr>
          <w:i/>
          <w:sz w:val="20"/>
          <w:szCs w:val="20"/>
        </w:rPr>
        <w:t>delivering high quality policy advice, regulatory oversi</w:t>
      </w:r>
      <w:r w:rsidR="00617540" w:rsidRPr="00B250EF">
        <w:rPr>
          <w:i/>
          <w:sz w:val="20"/>
          <w:szCs w:val="20"/>
        </w:rPr>
        <w:t xml:space="preserve">ght, programs and services; </w:t>
      </w:r>
      <w:r w:rsidR="0011146F" w:rsidRPr="00B250EF">
        <w:rPr>
          <w:i/>
          <w:sz w:val="20"/>
          <w:szCs w:val="20"/>
        </w:rPr>
        <w:t xml:space="preserve">2) </w:t>
      </w:r>
      <w:r w:rsidR="00E21D08" w:rsidRPr="00B250EF">
        <w:rPr>
          <w:i/>
          <w:sz w:val="20"/>
          <w:szCs w:val="20"/>
        </w:rPr>
        <w:t>tackling complex, multi-sectoral challenges in collaboration with the commun</w:t>
      </w:r>
      <w:r w:rsidR="00617540" w:rsidRPr="00B250EF">
        <w:rPr>
          <w:i/>
          <w:sz w:val="20"/>
          <w:szCs w:val="20"/>
        </w:rPr>
        <w:t xml:space="preserve">ity, business and citizens; </w:t>
      </w:r>
      <w:r w:rsidR="0011146F" w:rsidRPr="00B250EF">
        <w:rPr>
          <w:i/>
          <w:sz w:val="20"/>
          <w:szCs w:val="20"/>
        </w:rPr>
        <w:t xml:space="preserve">3) </w:t>
      </w:r>
      <w:r w:rsidR="00E21D08" w:rsidRPr="00B250EF">
        <w:rPr>
          <w:i/>
          <w:sz w:val="20"/>
          <w:szCs w:val="20"/>
        </w:rPr>
        <w:t>improving citizens</w:t>
      </w:r>
      <w:r w:rsidR="00293492">
        <w:rPr>
          <w:i/>
          <w:sz w:val="20"/>
          <w:szCs w:val="20"/>
        </w:rPr>
        <w:t>’</w:t>
      </w:r>
      <w:r w:rsidR="00E21D08" w:rsidRPr="00B250EF">
        <w:rPr>
          <w:i/>
          <w:sz w:val="20"/>
          <w:szCs w:val="20"/>
        </w:rPr>
        <w:t xml:space="preserve"> experience of government and de</w:t>
      </w:r>
      <w:r w:rsidR="00617540" w:rsidRPr="00B250EF">
        <w:rPr>
          <w:i/>
          <w:sz w:val="20"/>
          <w:szCs w:val="20"/>
        </w:rPr>
        <w:t>livering fair outcomes for them</w:t>
      </w:r>
      <w:r w:rsidR="00C53693" w:rsidRPr="00B250EF">
        <w:rPr>
          <w:i/>
          <w:sz w:val="20"/>
          <w:szCs w:val="20"/>
        </w:rPr>
        <w:t>;</w:t>
      </w:r>
      <w:r w:rsidR="0011146F" w:rsidRPr="00B250EF">
        <w:rPr>
          <w:i/>
          <w:sz w:val="20"/>
          <w:szCs w:val="20"/>
        </w:rPr>
        <w:t xml:space="preserve"> 4) </w:t>
      </w:r>
      <w:r w:rsidR="00617540" w:rsidRPr="00B250EF">
        <w:rPr>
          <w:i/>
          <w:sz w:val="20"/>
          <w:szCs w:val="20"/>
        </w:rPr>
        <w:t xml:space="preserve">improving how </w:t>
      </w:r>
      <w:r w:rsidR="00E21D08" w:rsidRPr="00B250EF">
        <w:rPr>
          <w:i/>
          <w:sz w:val="20"/>
          <w:szCs w:val="20"/>
        </w:rPr>
        <w:t xml:space="preserve">the APS monitors and measures its </w:t>
      </w:r>
      <w:r w:rsidR="00C810FE" w:rsidRPr="00B250EF">
        <w:rPr>
          <w:i/>
          <w:sz w:val="20"/>
          <w:szCs w:val="20"/>
        </w:rPr>
        <w:t>performance and</w:t>
      </w:r>
      <w:r w:rsidR="00E21D08" w:rsidRPr="00B250EF">
        <w:rPr>
          <w:i/>
          <w:sz w:val="20"/>
          <w:szCs w:val="20"/>
        </w:rPr>
        <w:t xml:space="preserve"> ensures the transparent and most effective use of taxpayer</w:t>
      </w:r>
      <w:r w:rsidR="00617540" w:rsidRPr="00B250EF">
        <w:rPr>
          <w:i/>
          <w:sz w:val="20"/>
          <w:szCs w:val="20"/>
        </w:rPr>
        <w:t>s’ money in delivering outcomes</w:t>
      </w:r>
      <w:r w:rsidR="00E21D08" w:rsidRPr="00B250EF">
        <w:rPr>
          <w:i/>
          <w:sz w:val="20"/>
          <w:szCs w:val="20"/>
        </w:rPr>
        <w:t>.</w:t>
      </w:r>
    </w:p>
    <w:p w14:paraId="04119123" w14:textId="30C6F71F" w:rsidR="00254597" w:rsidRPr="00254597" w:rsidRDefault="00254597" w:rsidP="00C53693">
      <w:pPr>
        <w:pStyle w:val="Heading2"/>
      </w:pPr>
      <w:r w:rsidRPr="00254597">
        <w:t>2.  The ANDI project</w:t>
      </w:r>
      <w:r w:rsidR="0071558C">
        <w:t>: measu</w:t>
      </w:r>
      <w:r w:rsidR="00F6609A">
        <w:t>ri</w:t>
      </w:r>
      <w:r w:rsidR="0071558C">
        <w:t xml:space="preserve">ng the </w:t>
      </w:r>
      <w:r w:rsidR="00F6609A">
        <w:t>Australia</w:t>
      </w:r>
      <w:r w:rsidR="0071558C">
        <w:t xml:space="preserve"> we want</w:t>
      </w:r>
    </w:p>
    <w:p w14:paraId="3719C83E" w14:textId="3DE75BB1" w:rsidR="00A20B59" w:rsidRDefault="001D1BB2" w:rsidP="00181E84">
      <w:r>
        <w:t>T</w:t>
      </w:r>
      <w:r w:rsidR="00696919">
        <w:t>he U</w:t>
      </w:r>
      <w:r>
        <w:t xml:space="preserve">niversity and ANDI </w:t>
      </w:r>
      <w:r w:rsidR="00617540">
        <w:t xml:space="preserve">Ltd </w:t>
      </w:r>
      <w:r w:rsidR="00C810FE">
        <w:t>have entered a long-</w:t>
      </w:r>
      <w:r>
        <w:t>term agreement to develop a</w:t>
      </w:r>
      <w:r w:rsidR="00696919">
        <w:t>n ongoing</w:t>
      </w:r>
      <w:r>
        <w:t xml:space="preserve"> national index</w:t>
      </w:r>
      <w:r w:rsidR="00C810FE">
        <w:t xml:space="preserve"> </w:t>
      </w:r>
      <w:r>
        <w:t>of Australia</w:t>
      </w:r>
      <w:r w:rsidR="00696919">
        <w:t>’s progress, wellbeing and sustainabilit</w:t>
      </w:r>
      <w:r w:rsidR="00617540">
        <w:t xml:space="preserve">y. ANDI </w:t>
      </w:r>
      <w:r w:rsidR="00696919">
        <w:t>will measure progress in twelve</w:t>
      </w:r>
      <w:r w:rsidR="00C810FE">
        <w:t xml:space="preserve"> </w:t>
      </w:r>
      <w:r w:rsidR="00523E23">
        <w:t>progress</w:t>
      </w:r>
      <w:r w:rsidR="00696919">
        <w:t xml:space="preserve"> ‘domains’ across all key areas of</w:t>
      </w:r>
      <w:r w:rsidR="00C53693">
        <w:t xml:space="preserve"> Australian society -</w:t>
      </w:r>
      <w:r w:rsidR="00696919">
        <w:t xml:space="preserve"> economic, social, cultural, environmental and democratic.</w:t>
      </w:r>
      <w:r w:rsidR="00696919">
        <w:rPr>
          <w:rStyle w:val="FootnoteReference"/>
        </w:rPr>
        <w:footnoteReference w:id="5"/>
      </w:r>
      <w:r w:rsidR="00696919">
        <w:t xml:space="preserve"> </w:t>
      </w:r>
      <w:r w:rsidR="007C66F6">
        <w:t xml:space="preserve"> </w:t>
      </w:r>
    </w:p>
    <w:p w14:paraId="67CB408E" w14:textId="4ADD7EC4" w:rsidR="0011146F" w:rsidRDefault="007C66F6" w:rsidP="00181E84">
      <w:r>
        <w:t>The</w:t>
      </w:r>
      <w:r w:rsidR="00A20B59">
        <w:t xml:space="preserve"> project will produce </w:t>
      </w:r>
      <w:r w:rsidR="00C53693">
        <w:t xml:space="preserve">each year </w:t>
      </w:r>
      <w:r w:rsidR="00A20B59">
        <w:t>an aggregate index of progress and</w:t>
      </w:r>
      <w:r w:rsidR="00C53693">
        <w:t xml:space="preserve"> wellbeing</w:t>
      </w:r>
      <w:r w:rsidR="00A20B59">
        <w:t xml:space="preserve">, and indices and status reports in each of the </w:t>
      </w:r>
      <w:r w:rsidR="00523E23">
        <w:t>twelve</w:t>
      </w:r>
      <w:r w:rsidR="00A20B59">
        <w:t xml:space="preserve"> domains. Domain</w:t>
      </w:r>
      <w:r w:rsidR="00254597">
        <w:t xml:space="preserve"> indices</w:t>
      </w:r>
      <w:r w:rsidR="00A20B59">
        <w:t xml:space="preserve"> and reports will </w:t>
      </w:r>
      <w:r w:rsidR="00A302C5">
        <w:t xml:space="preserve">each </w:t>
      </w:r>
      <w:r w:rsidR="00C53693">
        <w:t xml:space="preserve">be released </w:t>
      </w:r>
      <w:r w:rsidR="00A20B59">
        <w:t xml:space="preserve">in a different month, to </w:t>
      </w:r>
      <w:r w:rsidR="00254597">
        <w:t>maximise</w:t>
      </w:r>
      <w:r w:rsidR="00A20B59">
        <w:t xml:space="preserve"> pu</w:t>
      </w:r>
      <w:r w:rsidR="00254597">
        <w:t>blicity and national dis</w:t>
      </w:r>
      <w:r w:rsidR="00A20B59">
        <w:t>cussion.</w:t>
      </w:r>
      <w:r w:rsidR="0071558C">
        <w:t xml:space="preserve"> Progress will be measu</w:t>
      </w:r>
      <w:r w:rsidR="00A302C5">
        <w:t>r</w:t>
      </w:r>
      <w:r w:rsidR="0071558C">
        <w:t xml:space="preserve">ed </w:t>
      </w:r>
      <w:r w:rsidR="00A116B9">
        <w:t>in twelve key go</w:t>
      </w:r>
      <w:r w:rsidR="00EC3B69">
        <w:t>als</w:t>
      </w:r>
      <w:r w:rsidR="00A76534">
        <w:t xml:space="preserve"> or ‘sub-domains’</w:t>
      </w:r>
      <w:r w:rsidR="00EC3B69">
        <w:t xml:space="preserve"> in each domain, as </w:t>
      </w:r>
      <w:r w:rsidR="00A116B9">
        <w:t>determined and weighted by community pr</w:t>
      </w:r>
      <w:r w:rsidR="00A76534">
        <w:t>iorities and expert evaluation</w:t>
      </w:r>
      <w:r w:rsidR="00293492">
        <w:t>,</w:t>
      </w:r>
      <w:r w:rsidR="00A76534">
        <w:t xml:space="preserve"> and </w:t>
      </w:r>
      <w:r w:rsidR="00A116B9">
        <w:t>benchmarked against target</w:t>
      </w:r>
      <w:r w:rsidR="00C53693">
        <w:t>s</w:t>
      </w:r>
      <w:r w:rsidR="00A116B9">
        <w:t xml:space="preserve"> set (where possible) by a national or international best</w:t>
      </w:r>
      <w:r w:rsidR="0071558C">
        <w:t xml:space="preserve"> prac</w:t>
      </w:r>
      <w:r w:rsidR="00A116B9">
        <w:t>tice standard recognised as feasible and relevant for Australia.</w:t>
      </w:r>
    </w:p>
    <w:p w14:paraId="7F1DA9FE" w14:textId="1D5BDA1D" w:rsidR="007C66F6" w:rsidRDefault="0011146F" w:rsidP="00181E84">
      <w:r>
        <w:t>T</w:t>
      </w:r>
      <w:r w:rsidR="007C66F6">
        <w:t xml:space="preserve">he index will be </w:t>
      </w:r>
      <w:r w:rsidR="00A116B9">
        <w:t>developed in</w:t>
      </w:r>
      <w:r w:rsidR="00866452">
        <w:t xml:space="preserve"> three phases, the first two</w:t>
      </w:r>
      <w:r w:rsidR="00F0519E">
        <w:t xml:space="preserve"> being concurrent:</w:t>
      </w:r>
    </w:p>
    <w:p w14:paraId="0897A05D" w14:textId="2D412E10" w:rsidR="001D1BB2" w:rsidRDefault="007C66F6" w:rsidP="0011146F">
      <w:pPr>
        <w:pStyle w:val="ListParagraph"/>
        <w:numPr>
          <w:ilvl w:val="0"/>
          <w:numId w:val="22"/>
        </w:numPr>
        <w:snapToGrid w:val="0"/>
        <w:ind w:left="714" w:hanging="357"/>
        <w:contextualSpacing w:val="0"/>
      </w:pPr>
      <w:r>
        <w:lastRenderedPageBreak/>
        <w:t xml:space="preserve">a </w:t>
      </w:r>
      <w:r w:rsidR="00C810FE">
        <w:t>2-3-year</w:t>
      </w:r>
      <w:r>
        <w:t xml:space="preserve"> national community engagement program aimed to engage Australians across the nation in addressing the question ‘What kind of Austr</w:t>
      </w:r>
      <w:r w:rsidR="00A20B59">
        <w:t>a</w:t>
      </w:r>
      <w:r>
        <w:t>lia do we want</w:t>
      </w:r>
      <w:r w:rsidR="00A76534">
        <w:t>?’</w:t>
      </w:r>
      <w:r w:rsidR="00A20B59">
        <w:t xml:space="preserve"> The program will</w:t>
      </w:r>
      <w:r>
        <w:t xml:space="preserve"> us</w:t>
      </w:r>
      <w:r w:rsidR="00A20B59">
        <w:t>e</w:t>
      </w:r>
      <w:r>
        <w:t xml:space="preserve"> a wide range of </w:t>
      </w:r>
      <w:r w:rsidR="00A20B59">
        <w:t>community engagement platforms and processes</w:t>
      </w:r>
      <w:r w:rsidR="00A76534">
        <w:t xml:space="preserve">: </w:t>
      </w:r>
      <w:r w:rsidR="0011146F">
        <w:t>see sec 5 below;</w:t>
      </w:r>
    </w:p>
    <w:p w14:paraId="30BE3353" w14:textId="74013E57" w:rsidR="009F3586" w:rsidRDefault="009F3586" w:rsidP="0011146F">
      <w:pPr>
        <w:pStyle w:val="ListParagraph"/>
        <w:numPr>
          <w:ilvl w:val="0"/>
          <w:numId w:val="22"/>
        </w:numPr>
        <w:snapToGrid w:val="0"/>
        <w:ind w:left="714" w:hanging="357"/>
        <w:contextualSpacing w:val="0"/>
      </w:pPr>
      <w:r>
        <w:t>an extensiv</w:t>
      </w:r>
      <w:r w:rsidR="007C66F6">
        <w:t>e national resea</w:t>
      </w:r>
      <w:r>
        <w:t>r</w:t>
      </w:r>
      <w:r w:rsidR="007C66F6">
        <w:t>ch collaboration</w:t>
      </w:r>
      <w:r>
        <w:t xml:space="preserve"> led by the University of Melbourne</w:t>
      </w:r>
      <w:r w:rsidR="00C810FE">
        <w:t>,</w:t>
      </w:r>
      <w:r>
        <w:t xml:space="preserve"> but engaging other universities and research centres with </w:t>
      </w:r>
      <w:r w:rsidR="00866452">
        <w:t>expertise in specific domains;</w:t>
      </w:r>
    </w:p>
    <w:p w14:paraId="1D2ACB41" w14:textId="5044F97C" w:rsidR="00F0519E" w:rsidRDefault="00866452" w:rsidP="007C66F6">
      <w:pPr>
        <w:pStyle w:val="ListParagraph"/>
        <w:numPr>
          <w:ilvl w:val="0"/>
          <w:numId w:val="22"/>
        </w:numPr>
      </w:pPr>
      <w:r>
        <w:t>a detailed</w:t>
      </w:r>
      <w:r w:rsidR="00F0519E">
        <w:t xml:space="preserve"> focus on the application and optimal u</w:t>
      </w:r>
      <w:r>
        <w:t xml:space="preserve">se of the ANDI tool and </w:t>
      </w:r>
      <w:r w:rsidR="00F0519E">
        <w:t>the community engagement processes it develops</w:t>
      </w:r>
      <w:r w:rsidR="00A116B9">
        <w:t>, and in particular, its impacts</w:t>
      </w:r>
      <w:r>
        <w:t xml:space="preserve"> </w:t>
      </w:r>
      <w:r w:rsidR="00F0519E">
        <w:t>for: stronger democracy; improved public policy, planning and evaluation;</w:t>
      </w:r>
      <w:r w:rsidR="00A116B9">
        <w:t xml:space="preserve"> better</w:t>
      </w:r>
      <w:r w:rsidR="00F0519E">
        <w:t xml:space="preserve"> media reporting; and </w:t>
      </w:r>
      <w:r w:rsidR="00150131">
        <w:t xml:space="preserve">more informed </w:t>
      </w:r>
      <w:r w:rsidR="00F0519E">
        <w:t xml:space="preserve">public debate and understanding </w:t>
      </w:r>
      <w:r w:rsidR="00150131">
        <w:t>concer</w:t>
      </w:r>
      <w:r w:rsidR="00F0519E">
        <w:t>ni</w:t>
      </w:r>
      <w:r w:rsidR="00150131">
        <w:t>n</w:t>
      </w:r>
      <w:r w:rsidR="00F0519E">
        <w:t>g Austr</w:t>
      </w:r>
      <w:r w:rsidR="00150131">
        <w:t>alia’s</w:t>
      </w:r>
      <w:r w:rsidR="00F0519E">
        <w:t xml:space="preserve"> </w:t>
      </w:r>
      <w:r w:rsidR="00150131">
        <w:t>progress</w:t>
      </w:r>
      <w:r w:rsidR="00F0519E">
        <w:t xml:space="preserve"> and future development.</w:t>
      </w:r>
    </w:p>
    <w:p w14:paraId="37BCE921" w14:textId="4A0B3A42" w:rsidR="009F3586" w:rsidRDefault="009F3586" w:rsidP="004E68E3">
      <w:pPr>
        <w:pStyle w:val="Heading2"/>
      </w:pPr>
      <w:r>
        <w:t>3.  Issues and context</w:t>
      </w:r>
      <w:r w:rsidR="0071558C">
        <w:t xml:space="preserve">: </w:t>
      </w:r>
      <w:r w:rsidR="00B4362B">
        <w:t>a global movement</w:t>
      </w:r>
    </w:p>
    <w:p w14:paraId="7F7ECD7A" w14:textId="76D2BC0A" w:rsidR="00AD277D" w:rsidRDefault="00A76534" w:rsidP="00181E84">
      <w:r>
        <w:t>T</w:t>
      </w:r>
      <w:r w:rsidR="0091274A">
        <w:t xml:space="preserve">he </w:t>
      </w:r>
      <w:r w:rsidR="00E12626">
        <w:t>ANDI</w:t>
      </w:r>
      <w:r w:rsidR="0091274A">
        <w:t xml:space="preserve"> project </w:t>
      </w:r>
      <w:r w:rsidR="00B250EF">
        <w:t>has been</w:t>
      </w:r>
      <w:r w:rsidR="0091274A">
        <w:t xml:space="preserve"> an active </w:t>
      </w:r>
      <w:r w:rsidR="0011146F">
        <w:t xml:space="preserve">and </w:t>
      </w:r>
      <w:r w:rsidR="00E105B9">
        <w:t>long-term</w:t>
      </w:r>
      <w:r w:rsidR="0011146F">
        <w:t xml:space="preserve"> </w:t>
      </w:r>
      <w:r w:rsidR="0091274A">
        <w:t>participant in a</w:t>
      </w:r>
      <w:r w:rsidR="00E12626">
        <w:t xml:space="preserve"> global movement</w:t>
      </w:r>
      <w:r w:rsidR="00F062AD">
        <w:t xml:space="preserve"> </w:t>
      </w:r>
      <w:r w:rsidR="00667C5C">
        <w:t>to develop new measure</w:t>
      </w:r>
      <w:r w:rsidR="00F062AD">
        <w:t>s</w:t>
      </w:r>
      <w:r w:rsidR="00667C5C">
        <w:t xml:space="preserve"> of societal progress ‘beyond GDP’</w:t>
      </w:r>
      <w:r w:rsidR="0091274A">
        <w:t xml:space="preserve"> which</w:t>
      </w:r>
      <w:r w:rsidR="00E12626">
        <w:t xml:space="preserve"> has grown over the past 20 years</w:t>
      </w:r>
      <w:r w:rsidR="0091274A">
        <w:t xml:space="preserve">. </w:t>
      </w:r>
      <w:r w:rsidR="00747EDC">
        <w:t>L</w:t>
      </w:r>
      <w:r w:rsidR="00E12626">
        <w:t>ed</w:t>
      </w:r>
      <w:r w:rsidR="00AD277D">
        <w:t xml:space="preserve"> </w:t>
      </w:r>
      <w:r w:rsidR="00E12626">
        <w:t xml:space="preserve">internationally </w:t>
      </w:r>
      <w:r w:rsidR="00AD277D">
        <w:t>by the</w:t>
      </w:r>
      <w:r w:rsidR="00181E84">
        <w:t xml:space="preserve"> OECD Global Project on Stat</w:t>
      </w:r>
      <w:r w:rsidR="00667C5C">
        <w:t>istics, Knowledge and Society</w:t>
      </w:r>
      <w:r w:rsidR="00372E55">
        <w:t xml:space="preserve">, the Stiglitz, Sen, Fitoussi </w:t>
      </w:r>
      <w:r w:rsidR="00372E55">
        <w:rPr>
          <w:i/>
        </w:rPr>
        <w:t>Commission on the Measurement of Ec</w:t>
      </w:r>
      <w:r w:rsidR="00B77C87">
        <w:rPr>
          <w:i/>
        </w:rPr>
        <w:t>o</w:t>
      </w:r>
      <w:r w:rsidR="00372E55">
        <w:rPr>
          <w:i/>
        </w:rPr>
        <w:t xml:space="preserve">nomic Performance and Social Progress </w:t>
      </w:r>
      <w:r w:rsidR="00372E55" w:rsidRPr="00372E55">
        <w:t>(commissioned by the Pres</w:t>
      </w:r>
      <w:r w:rsidR="00372E55">
        <w:t>id</w:t>
      </w:r>
      <w:r w:rsidR="00372E55" w:rsidRPr="00220DB9">
        <w:t>ent of France)</w:t>
      </w:r>
      <w:r w:rsidR="00372E55">
        <w:rPr>
          <w:rStyle w:val="FootnoteReference"/>
        </w:rPr>
        <w:footnoteReference w:id="6"/>
      </w:r>
      <w:r w:rsidR="009C64CE" w:rsidRPr="00372E55">
        <w:t xml:space="preserve"> </w:t>
      </w:r>
      <w:r w:rsidR="009C64CE">
        <w:t xml:space="preserve">and </w:t>
      </w:r>
      <w:r w:rsidR="00E2449C">
        <w:t>more recently,</w:t>
      </w:r>
      <w:r w:rsidR="00E12626">
        <w:t xml:space="preserve"> </w:t>
      </w:r>
      <w:r w:rsidR="009C64CE">
        <w:t xml:space="preserve">the UN </w:t>
      </w:r>
      <w:r w:rsidR="00E12626">
        <w:t>Sustainable</w:t>
      </w:r>
      <w:r w:rsidR="009C64CE">
        <w:t xml:space="preserve"> Developm</w:t>
      </w:r>
      <w:r w:rsidR="00E12626">
        <w:t>ent Goals program</w:t>
      </w:r>
      <w:r w:rsidR="00747EDC">
        <w:t>, this movement has drawn</w:t>
      </w:r>
      <w:r w:rsidR="00E12626">
        <w:t xml:space="preserve"> on </w:t>
      </w:r>
      <w:r w:rsidR="009C64CE">
        <w:t xml:space="preserve">earlier </w:t>
      </w:r>
      <w:r w:rsidR="00C36B98">
        <w:t>work</w:t>
      </w:r>
      <w:r w:rsidR="009C64CE">
        <w:t xml:space="preserve"> from many </w:t>
      </w:r>
      <w:r w:rsidR="00C36B98">
        <w:t xml:space="preserve">diverse sources, including: the Club of Rome; the women’s movement; </w:t>
      </w:r>
      <w:r w:rsidR="009C64CE">
        <w:t xml:space="preserve"> </w:t>
      </w:r>
      <w:r w:rsidR="00C36B98">
        <w:t xml:space="preserve">the community indicators movement; </w:t>
      </w:r>
      <w:r w:rsidR="009C64CE">
        <w:t>the ‘</w:t>
      </w:r>
      <w:r w:rsidR="00C36B98">
        <w:t>Triple B</w:t>
      </w:r>
      <w:r w:rsidR="009C64CE">
        <w:t>ottom line</w:t>
      </w:r>
      <w:r w:rsidR="00C36B98">
        <w:t xml:space="preserve">’ concept in business; and pioneering national projects </w:t>
      </w:r>
      <w:r w:rsidR="009C64CE">
        <w:t xml:space="preserve">such as the </w:t>
      </w:r>
      <w:r w:rsidR="00C36B98">
        <w:t>Canadian</w:t>
      </w:r>
      <w:r w:rsidR="0071558C">
        <w:t xml:space="preserve"> Index of W</w:t>
      </w:r>
      <w:r w:rsidR="00C36B98">
        <w:t>ellbeing</w:t>
      </w:r>
      <w:r w:rsidR="009C64CE">
        <w:t xml:space="preserve">, </w:t>
      </w:r>
      <w:r w:rsidR="00C36B98">
        <w:t xml:space="preserve">Bhutan’s Gross National </w:t>
      </w:r>
      <w:r w:rsidR="0071558C">
        <w:t>Happiness I</w:t>
      </w:r>
      <w:r w:rsidR="00C36B98">
        <w:t>ndex and the Australian Bureau of Statistics  ABS’s Measures of Australia’s Progress’ (MAP) project.</w:t>
      </w:r>
      <w:r w:rsidR="00E12626">
        <w:rPr>
          <w:rStyle w:val="FootnoteReference"/>
        </w:rPr>
        <w:footnoteReference w:id="7"/>
      </w:r>
    </w:p>
    <w:p w14:paraId="1A69FBD5" w14:textId="3AD19F63" w:rsidR="005D22C3" w:rsidRDefault="00181E84" w:rsidP="00181E84">
      <w:r>
        <w:t xml:space="preserve">The </w:t>
      </w:r>
      <w:r w:rsidR="0091274A">
        <w:t xml:space="preserve">central premise of the </w:t>
      </w:r>
      <w:r w:rsidR="00B77C87">
        <w:t>g</w:t>
      </w:r>
      <w:r w:rsidR="0091274A">
        <w:t xml:space="preserve">lobal </w:t>
      </w:r>
      <w:r w:rsidR="00B77C87">
        <w:t>p</w:t>
      </w:r>
      <w:r w:rsidR="0091274A">
        <w:t>roject</w:t>
      </w:r>
      <w:r>
        <w:t xml:space="preserve"> is that GDP is an inadequate measure of societal progress</w:t>
      </w:r>
      <w:r w:rsidR="00AD277D">
        <w:t xml:space="preserve">, </w:t>
      </w:r>
      <w:r w:rsidR="00B70AB9">
        <w:t xml:space="preserve">despite its general </w:t>
      </w:r>
      <w:r w:rsidR="0007059F">
        <w:t>acceptance</w:t>
      </w:r>
      <w:r w:rsidR="00B70AB9">
        <w:t xml:space="preserve"> </w:t>
      </w:r>
      <w:r w:rsidR="0007059F">
        <w:t xml:space="preserve">(though with </w:t>
      </w:r>
      <w:r w:rsidR="00A76534">
        <w:t xml:space="preserve">steadily </w:t>
      </w:r>
      <w:r w:rsidR="0007059F">
        <w:t xml:space="preserve">growing reservations) </w:t>
      </w:r>
      <w:r w:rsidR="00B70AB9">
        <w:t>as an indicator of aggregate economic activity</w:t>
      </w:r>
      <w:r>
        <w:t>.</w:t>
      </w:r>
      <w:r w:rsidR="008C4A8C">
        <w:rPr>
          <w:rStyle w:val="FootnoteReference"/>
        </w:rPr>
        <w:footnoteReference w:id="8"/>
      </w:r>
      <w:r>
        <w:t xml:space="preserve"> </w:t>
      </w:r>
      <w:r w:rsidR="00A76534">
        <w:t xml:space="preserve"> </w:t>
      </w:r>
      <w:r w:rsidR="00AB3514">
        <w:t xml:space="preserve">It is now </w:t>
      </w:r>
      <w:r w:rsidR="0007059F">
        <w:t>broadly agreed</w:t>
      </w:r>
      <w:r w:rsidR="00667C5C">
        <w:t xml:space="preserve"> </w:t>
      </w:r>
      <w:r w:rsidR="00AB3514">
        <w:t xml:space="preserve">that </w:t>
      </w:r>
      <w:r w:rsidR="00AD277D">
        <w:t xml:space="preserve">GDP </w:t>
      </w:r>
      <w:r w:rsidR="00A17B30">
        <w:t>fails to</w:t>
      </w:r>
      <w:r>
        <w:t xml:space="preserve"> measure many important economic activities </w:t>
      </w:r>
      <w:r w:rsidR="00186E33">
        <w:t>(</w:t>
      </w:r>
      <w:r>
        <w:t xml:space="preserve">such as unpaid </w:t>
      </w:r>
      <w:r w:rsidR="00A17B30">
        <w:t xml:space="preserve">domestic </w:t>
      </w:r>
      <w:r>
        <w:t>work</w:t>
      </w:r>
      <w:r w:rsidR="00A17B30">
        <w:t xml:space="preserve"> and the added value of</w:t>
      </w:r>
      <w:r w:rsidR="00186E33">
        <w:t>,</w:t>
      </w:r>
      <w:r w:rsidR="00A17B30">
        <w:t xml:space="preserve"> </w:t>
      </w:r>
      <w:r w:rsidR="00186E33">
        <w:t>for example, public health and education);  that it counts as a positive</w:t>
      </w:r>
      <w:r w:rsidR="00A17B30">
        <w:t xml:space="preserve"> </w:t>
      </w:r>
      <w:r w:rsidR="00186E33">
        <w:t xml:space="preserve">the </w:t>
      </w:r>
      <w:r>
        <w:t xml:space="preserve">sales of </w:t>
      </w:r>
      <w:r w:rsidR="00A76534">
        <w:t xml:space="preserve">many </w:t>
      </w:r>
      <w:r w:rsidR="00186E33">
        <w:t xml:space="preserve">products (tobacco etc) </w:t>
      </w:r>
      <w:r>
        <w:t>which are harmful</w:t>
      </w:r>
      <w:r w:rsidR="00186E33">
        <w:t>; and</w:t>
      </w:r>
      <w:r>
        <w:t xml:space="preserve"> </w:t>
      </w:r>
      <w:r w:rsidR="00A76534">
        <w:t xml:space="preserve">it </w:t>
      </w:r>
      <w:r>
        <w:t xml:space="preserve">increases with natural disasters such as </w:t>
      </w:r>
      <w:r w:rsidR="0007059F">
        <w:t xml:space="preserve">wars, </w:t>
      </w:r>
      <w:r>
        <w:t>bushfires and floods</w:t>
      </w:r>
      <w:r w:rsidR="00667C5C">
        <w:t>. GDP</w:t>
      </w:r>
      <w:r>
        <w:t xml:space="preserve"> does not measure </w:t>
      </w:r>
      <w:r w:rsidR="00186E33">
        <w:t>the wellbeing of the population (and was not intended to</w:t>
      </w:r>
      <w:r w:rsidR="005D22C3">
        <w:t>, by its principal inventor, Simon Kuznets</w:t>
      </w:r>
      <w:r w:rsidR="005D22C3">
        <w:rPr>
          <w:rStyle w:val="FootnoteReference"/>
        </w:rPr>
        <w:footnoteReference w:id="9"/>
      </w:r>
      <w:r w:rsidR="005D22C3">
        <w:t xml:space="preserve">), </w:t>
      </w:r>
      <w:r>
        <w:t xml:space="preserve">yet </w:t>
      </w:r>
      <w:r w:rsidR="000E5578">
        <w:t>continues to be</w:t>
      </w:r>
      <w:r>
        <w:t xml:space="preserve"> used as the </w:t>
      </w:r>
      <w:r w:rsidR="00842BA9">
        <w:t xml:space="preserve">dominant </w:t>
      </w:r>
      <w:r>
        <w:t>nat</w:t>
      </w:r>
      <w:r w:rsidR="0007059F">
        <w:t xml:space="preserve">ional benchmark of success for </w:t>
      </w:r>
      <w:r>
        <w:t xml:space="preserve">governments in most nations.  </w:t>
      </w:r>
    </w:p>
    <w:p w14:paraId="2F0F92BB" w14:textId="1FD4558A" w:rsidR="004E68E3" w:rsidRDefault="00F3707B" w:rsidP="00845D8B">
      <w:pPr>
        <w:autoSpaceDE w:val="0"/>
        <w:autoSpaceDN w:val="0"/>
        <w:adjustRightInd w:val="0"/>
      </w:pPr>
      <w:r>
        <w:t>Under</w:t>
      </w:r>
      <w:r w:rsidR="00181E84">
        <w:t xml:space="preserve"> the OECD</w:t>
      </w:r>
      <w:r>
        <w:t>’s leadership,</w:t>
      </w:r>
      <w:r w:rsidR="00181E84">
        <w:t xml:space="preserve"> </w:t>
      </w:r>
      <w:r>
        <w:t>and through a process</w:t>
      </w:r>
      <w:r w:rsidR="00C62A39">
        <w:t xml:space="preserve"> of regular global conferences and regional workshops</w:t>
      </w:r>
      <w:r w:rsidR="00842BA9">
        <w:t xml:space="preserve"> initiated in 2004</w:t>
      </w:r>
      <w:r w:rsidR="00C62A39">
        <w:t>,</w:t>
      </w:r>
      <w:r>
        <w:t xml:space="preserve"> </w:t>
      </w:r>
      <w:r w:rsidR="00181E84">
        <w:t xml:space="preserve">many countries </w:t>
      </w:r>
      <w:r>
        <w:t xml:space="preserve">have worked together </w:t>
      </w:r>
      <w:r w:rsidR="00747EDC">
        <w:t>t</w:t>
      </w:r>
      <w:r>
        <w:t>o change</w:t>
      </w:r>
      <w:r w:rsidR="00181E84">
        <w:t xml:space="preserve"> how they </w:t>
      </w:r>
      <w:r w:rsidR="00C62A39">
        <w:t xml:space="preserve">define and </w:t>
      </w:r>
      <w:r w:rsidR="00181E84">
        <w:t xml:space="preserve">measure </w:t>
      </w:r>
      <w:r w:rsidR="004E68E3">
        <w:t xml:space="preserve">the </w:t>
      </w:r>
      <w:r w:rsidR="00181E84">
        <w:t>progress and wellbeing</w:t>
      </w:r>
      <w:r w:rsidR="00C62A39">
        <w:t xml:space="preserve"> of their societies</w:t>
      </w:r>
      <w:r w:rsidR="00181E84">
        <w:t xml:space="preserve">, </w:t>
      </w:r>
      <w:r w:rsidR="00C62A39">
        <w:t xml:space="preserve">and to develop new measures </w:t>
      </w:r>
      <w:r w:rsidR="00181E84">
        <w:t>to guide them to invest in policies which will result in more equitable and sustainable communities in the future.</w:t>
      </w:r>
      <w:r w:rsidR="00667C5C">
        <w:t xml:space="preserve"> </w:t>
      </w:r>
      <w:r w:rsidR="00C62A39">
        <w:t xml:space="preserve"> </w:t>
      </w:r>
    </w:p>
    <w:p w14:paraId="3E492209" w14:textId="1AAFEF1C" w:rsidR="00845D8B" w:rsidRDefault="00C62A39" w:rsidP="00845D8B">
      <w:pPr>
        <w:autoSpaceDE w:val="0"/>
        <w:autoSpaceDN w:val="0"/>
        <w:adjustRightInd w:val="0"/>
      </w:pPr>
      <w:r>
        <w:t xml:space="preserve">The key underlying questions </w:t>
      </w:r>
      <w:r w:rsidR="00D56B30">
        <w:t xml:space="preserve">raised in </w:t>
      </w:r>
      <w:r>
        <w:t>this p</w:t>
      </w:r>
      <w:r w:rsidR="00845D8B">
        <w:t>roces</w:t>
      </w:r>
      <w:r>
        <w:t xml:space="preserve">s </w:t>
      </w:r>
      <w:r w:rsidR="00845D8B">
        <w:t xml:space="preserve">are profound and </w:t>
      </w:r>
      <w:r w:rsidR="001B5B3A">
        <w:t xml:space="preserve">of </w:t>
      </w:r>
      <w:r w:rsidR="00845D8B">
        <w:t>universal</w:t>
      </w:r>
      <w:r w:rsidR="00D56B30">
        <w:t xml:space="preserve"> releva</w:t>
      </w:r>
      <w:r w:rsidR="001B5B3A">
        <w:t>nce</w:t>
      </w:r>
      <w:r w:rsidR="00845D8B">
        <w:t xml:space="preserve">, in Australia and elsewhere: </w:t>
      </w:r>
    </w:p>
    <w:p w14:paraId="59FE57BD" w14:textId="1DB10DD7" w:rsidR="005D5058" w:rsidRPr="00C62A39" w:rsidRDefault="005D5058" w:rsidP="006F6FBB">
      <w:pPr>
        <w:pStyle w:val="ListParagraph"/>
        <w:numPr>
          <w:ilvl w:val="0"/>
          <w:numId w:val="22"/>
        </w:numPr>
      </w:pPr>
      <w:r w:rsidRPr="00C62A39">
        <w:t>Is a</w:t>
      </w:r>
      <w:r w:rsidR="00845D8B">
        <w:t>n economically</w:t>
      </w:r>
      <w:r w:rsidRPr="00C62A39">
        <w:t xml:space="preserve"> productive society necessarily a happy one?</w:t>
      </w:r>
    </w:p>
    <w:p w14:paraId="0D78D48A" w14:textId="707F1668" w:rsidR="005D5058" w:rsidRPr="00C62A39" w:rsidRDefault="00D56B30" w:rsidP="006F6FBB">
      <w:pPr>
        <w:pStyle w:val="ListParagraph"/>
        <w:numPr>
          <w:ilvl w:val="0"/>
          <w:numId w:val="22"/>
        </w:numPr>
      </w:pPr>
      <w:r>
        <w:lastRenderedPageBreak/>
        <w:t>What does ‘progress’</w:t>
      </w:r>
      <w:r w:rsidR="005D5058" w:rsidRPr="00C62A39">
        <w:t xml:space="preserve"> mean to the world’s citizens?</w:t>
      </w:r>
    </w:p>
    <w:p w14:paraId="6F7E74AB" w14:textId="77777777" w:rsidR="005D5058" w:rsidRPr="00C62A39" w:rsidRDefault="005D5058" w:rsidP="006F6FBB">
      <w:pPr>
        <w:pStyle w:val="ListParagraph"/>
        <w:numPr>
          <w:ilvl w:val="0"/>
          <w:numId w:val="22"/>
        </w:numPr>
      </w:pPr>
      <w:r w:rsidRPr="00C62A39">
        <w:t>Which environmental, social and economic indicators should be included in the measurement of quality of life?</w:t>
      </w:r>
    </w:p>
    <w:p w14:paraId="614EA959" w14:textId="2FE25378" w:rsidR="005D5058" w:rsidRDefault="005D5058" w:rsidP="006F6FBB">
      <w:pPr>
        <w:pStyle w:val="ListParagraph"/>
        <w:numPr>
          <w:ilvl w:val="0"/>
          <w:numId w:val="22"/>
        </w:numPr>
      </w:pPr>
      <w:r w:rsidRPr="00C62A39">
        <w:t>Why is there a gap between the effects of current measurement of wellbeing and the real lives of citizens?</w:t>
      </w:r>
    </w:p>
    <w:p w14:paraId="02239E00" w14:textId="53CA25BD" w:rsidR="00845D8B" w:rsidRDefault="000E5578" w:rsidP="006F6FBB">
      <w:pPr>
        <w:pStyle w:val="ListParagraph"/>
        <w:numPr>
          <w:ilvl w:val="0"/>
          <w:numId w:val="22"/>
        </w:numPr>
      </w:pPr>
      <w:r>
        <w:t>Why (and how</w:t>
      </w:r>
      <w:r w:rsidR="00842BA9">
        <w:t xml:space="preserve">) </w:t>
      </w:r>
      <w:r w:rsidR="00845D8B">
        <w:t>should citizens be engaged in developing new measures of progress</w:t>
      </w:r>
      <w:r w:rsidR="00D56B30">
        <w:t xml:space="preserve"> for socie</w:t>
      </w:r>
      <w:r w:rsidR="00845D8B">
        <w:t>ties?</w:t>
      </w:r>
    </w:p>
    <w:p w14:paraId="6DBD8E4E" w14:textId="506E524F" w:rsidR="00D56B30" w:rsidRDefault="00D56B30" w:rsidP="006F6FBB">
      <w:pPr>
        <w:pStyle w:val="ListParagraph"/>
        <w:numPr>
          <w:ilvl w:val="0"/>
          <w:numId w:val="22"/>
        </w:numPr>
      </w:pPr>
      <w:r>
        <w:t>How can these new progress measures guide the practical processes of government budgets, policymaking and national planning?</w:t>
      </w:r>
    </w:p>
    <w:p w14:paraId="7154DA98" w14:textId="331DD525" w:rsidR="00F3707B" w:rsidRPr="009C64CE" w:rsidRDefault="00F3707B" w:rsidP="00B4362B">
      <w:pPr>
        <w:pStyle w:val="Heading2"/>
      </w:pPr>
      <w:r>
        <w:t>4.  Implicati</w:t>
      </w:r>
      <w:r w:rsidRPr="009C64CE">
        <w:t>ons for public policy</w:t>
      </w:r>
    </w:p>
    <w:p w14:paraId="602B91E3" w14:textId="1883BECA" w:rsidR="006F6FBB" w:rsidRDefault="005D5058" w:rsidP="006F6FBB">
      <w:r>
        <w:t xml:space="preserve">Over </w:t>
      </w:r>
      <w:r w:rsidR="00D56B30">
        <w:t xml:space="preserve">more than a decade of deliberation, </w:t>
      </w:r>
      <w:r w:rsidR="000A5BA4">
        <w:t>some</w:t>
      </w:r>
      <w:r w:rsidR="005D22C3">
        <w:t xml:space="preserve"> clear </w:t>
      </w:r>
      <w:r w:rsidR="007C093C">
        <w:t xml:space="preserve">lessons and </w:t>
      </w:r>
      <w:r w:rsidR="005D22C3">
        <w:t>conclusions have emerged from the OECD-led global</w:t>
      </w:r>
      <w:r w:rsidR="0071558C">
        <w:t xml:space="preserve"> mov</w:t>
      </w:r>
      <w:r w:rsidR="00747EDC">
        <w:t>e</w:t>
      </w:r>
      <w:r w:rsidR="0071558C">
        <w:t>ment</w:t>
      </w:r>
      <w:r w:rsidR="007C093C">
        <w:t>. Initially embodied in the interna</w:t>
      </w:r>
      <w:r w:rsidR="005B4E2A">
        <w:t>tional</w:t>
      </w:r>
      <w:r w:rsidR="007C093C">
        <w:t xml:space="preserve"> ‘Istanbul Declaration’</w:t>
      </w:r>
      <w:r w:rsidR="00842BA9">
        <w:t xml:space="preserve"> </w:t>
      </w:r>
      <w:r w:rsidR="007C093C">
        <w:t xml:space="preserve">(2009) and gradually built on in </w:t>
      </w:r>
      <w:r w:rsidR="006F6FBB">
        <w:t>subsequent OECD World Forums,</w:t>
      </w:r>
      <w:r w:rsidR="007C093C">
        <w:t xml:space="preserve"> </w:t>
      </w:r>
      <w:r w:rsidR="006F6FBB">
        <w:t>these</w:t>
      </w:r>
      <w:r w:rsidR="007C093C">
        <w:t xml:space="preserve"> lessons have </w:t>
      </w:r>
      <w:r w:rsidR="00C21003">
        <w:t xml:space="preserve">direct </w:t>
      </w:r>
      <w:r w:rsidR="005D22C3">
        <w:t>relevance for the improvement of public policy</w:t>
      </w:r>
      <w:r w:rsidR="007C093C">
        <w:t>,</w:t>
      </w:r>
      <w:r w:rsidR="00747EDC">
        <w:t xml:space="preserve"> in Australia and elsewhere</w:t>
      </w:r>
      <w:r w:rsidR="005B4E2A">
        <w:t>.</w:t>
      </w:r>
      <w:r w:rsidR="007C093C">
        <w:rPr>
          <w:rStyle w:val="FootnoteReference"/>
        </w:rPr>
        <w:footnoteReference w:id="10"/>
      </w:r>
      <w:r w:rsidR="005B4E2A">
        <w:t xml:space="preserve"> </w:t>
      </w:r>
      <w:r w:rsidR="00E0642D">
        <w:t>They can be summarised as follows:</w:t>
      </w:r>
    </w:p>
    <w:p w14:paraId="6CDACC29" w14:textId="5136558A" w:rsidR="006F6FBB" w:rsidRDefault="006F6FBB" w:rsidP="006F6FBB">
      <w:pPr>
        <w:pStyle w:val="ListParagraph"/>
        <w:numPr>
          <w:ilvl w:val="0"/>
          <w:numId w:val="28"/>
        </w:numPr>
        <w:contextualSpacing w:val="0"/>
      </w:pPr>
      <w:r>
        <w:t xml:space="preserve">The indicators that a nation adopts to measure its progress </w:t>
      </w:r>
      <w:r w:rsidR="00C21003">
        <w:t xml:space="preserve">and guide its policymaking </w:t>
      </w:r>
      <w:r>
        <w:t xml:space="preserve">will directly affect the well-being </w:t>
      </w:r>
      <w:r w:rsidR="002630CD">
        <w:t xml:space="preserve">and life-chances </w:t>
      </w:r>
      <w:r>
        <w:t>of its people. The wrong measures will produce adverse consequences for policy and wellbeing</w:t>
      </w:r>
      <w:r w:rsidR="00217DFD">
        <w:t>.</w:t>
      </w:r>
    </w:p>
    <w:p w14:paraId="5A25342D" w14:textId="35C5136A" w:rsidR="006F6FBB" w:rsidRDefault="006F6FBB" w:rsidP="006F6FBB">
      <w:pPr>
        <w:pStyle w:val="ListParagraph"/>
        <w:numPr>
          <w:ilvl w:val="0"/>
          <w:numId w:val="28"/>
        </w:numPr>
        <w:contextualSpacing w:val="0"/>
      </w:pPr>
      <w:r>
        <w:t xml:space="preserve">GDP is essentially a measure of economic output and not societal well-being, and using it as the main measure of society's progress has </w:t>
      </w:r>
      <w:r w:rsidR="00C21003">
        <w:t>contributed to</w:t>
      </w:r>
      <w:r>
        <w:t xml:space="preserve"> environmental and social problems</w:t>
      </w:r>
      <w:r w:rsidR="00E0642D">
        <w:t xml:space="preserve"> (such as inequality and environmental degradation) and poor policy</w:t>
      </w:r>
      <w:r>
        <w:t xml:space="preserve">. New measures are needed which reflect a more holistic </w:t>
      </w:r>
      <w:r w:rsidR="00E0642D">
        <w:t xml:space="preserve">and balanced </w:t>
      </w:r>
      <w:r>
        <w:t xml:space="preserve">vision of </w:t>
      </w:r>
      <w:r w:rsidR="00217DFD">
        <w:t xml:space="preserve">equitable and sustainable </w:t>
      </w:r>
      <w:r>
        <w:t>wellbeing</w:t>
      </w:r>
      <w:r w:rsidR="008E1030">
        <w:t>: they should include (at least) the</w:t>
      </w:r>
      <w:r>
        <w:t xml:space="preserve"> social, economic</w:t>
      </w:r>
      <w:r w:rsidR="008E1030">
        <w:t>,</w:t>
      </w:r>
      <w:r>
        <w:t xml:space="preserve"> cultural, democratic and environmental dimensions</w:t>
      </w:r>
      <w:r w:rsidR="00217DFD">
        <w:t xml:space="preserve"> of progress</w:t>
      </w:r>
      <w:r>
        <w:t xml:space="preserve">, </w:t>
      </w:r>
      <w:r w:rsidR="00217DFD">
        <w:t xml:space="preserve">and </w:t>
      </w:r>
      <w:r>
        <w:t>both objective and subjective measures</w:t>
      </w:r>
      <w:r w:rsidR="00C21003">
        <w:t xml:space="preserve"> of wellbeing and quality of life</w:t>
      </w:r>
      <w:r>
        <w:t xml:space="preserve"> (such as </w:t>
      </w:r>
      <w:r w:rsidR="008E1030">
        <w:t xml:space="preserve">life satisfaction, </w:t>
      </w:r>
      <w:r w:rsidR="00217DFD">
        <w:t>security etc).</w:t>
      </w:r>
      <w:r>
        <w:t xml:space="preserve"> </w:t>
      </w:r>
    </w:p>
    <w:p w14:paraId="7A321687" w14:textId="6698309B" w:rsidR="006F6FBB" w:rsidRDefault="006F6FBB" w:rsidP="006F6FBB">
      <w:pPr>
        <w:pStyle w:val="ListParagraph"/>
        <w:numPr>
          <w:ilvl w:val="0"/>
          <w:numId w:val="28"/>
        </w:numPr>
        <w:contextualSpacing w:val="0"/>
      </w:pPr>
      <w:r>
        <w:t xml:space="preserve">The task of developing these new measures is ultimately a democratic one and must engage communities </w:t>
      </w:r>
      <w:r w:rsidR="005B4E2A">
        <w:t xml:space="preserve">in </w:t>
      </w:r>
      <w:r>
        <w:t xml:space="preserve">working with policymakers and scientists. The process of citizen engagement in developing new progress goals and measures is not only necessary in itself </w:t>
      </w:r>
      <w:r w:rsidR="002630CD">
        <w:t xml:space="preserve">(because of </w:t>
      </w:r>
      <w:r w:rsidR="008E1030">
        <w:t>its</w:t>
      </w:r>
      <w:r w:rsidR="002630CD">
        <w:t xml:space="preserve"> impact on wellbeing) </w:t>
      </w:r>
      <w:r>
        <w:t xml:space="preserve">but </w:t>
      </w:r>
      <w:r w:rsidR="002630CD">
        <w:t xml:space="preserve">it </w:t>
      </w:r>
      <w:r>
        <w:t xml:space="preserve">can </w:t>
      </w:r>
      <w:r w:rsidR="002630CD">
        <w:t xml:space="preserve">also </w:t>
      </w:r>
      <w:r>
        <w:t>be an important way to renew democracy and re-engage citizens at a time when in many countries</w:t>
      </w:r>
      <w:r w:rsidR="008E1030">
        <w:t>,</w:t>
      </w:r>
      <w:r>
        <w:t xml:space="preserve"> democracy is in decline and citizen trust is low</w:t>
      </w:r>
      <w:r w:rsidR="00A413CB">
        <w:t>.</w:t>
      </w:r>
      <w:r w:rsidR="00217DFD">
        <w:rPr>
          <w:rStyle w:val="FootnoteReference"/>
        </w:rPr>
        <w:footnoteReference w:id="11"/>
      </w:r>
    </w:p>
    <w:p w14:paraId="3CB2764F" w14:textId="42310CFE" w:rsidR="006F6FBB" w:rsidRPr="0093421C" w:rsidRDefault="006F6FBB" w:rsidP="006F6FBB">
      <w:pPr>
        <w:pStyle w:val="ListParagraph"/>
        <w:numPr>
          <w:ilvl w:val="0"/>
          <w:numId w:val="28"/>
        </w:numPr>
      </w:pPr>
      <w:r>
        <w:lastRenderedPageBreak/>
        <w:t>The key challenge ultimately is to build these new progress measures and community per</w:t>
      </w:r>
      <w:r w:rsidR="008E1030">
        <w:t>manently into government policy-</w:t>
      </w:r>
      <w:r>
        <w:t xml:space="preserve">making and </w:t>
      </w:r>
      <w:r w:rsidR="008E1030">
        <w:t>community</w:t>
      </w:r>
      <w:r>
        <w:t xml:space="preserve"> awareness. Fully developed, they can enhance democracy, strengthen government transparency and accountability, improve national planning and help develop a shared national vision.</w:t>
      </w:r>
    </w:p>
    <w:p w14:paraId="5913B4D4" w14:textId="5312C767" w:rsidR="00824E21" w:rsidRDefault="006112A8" w:rsidP="006112A8">
      <w:r>
        <w:t xml:space="preserve">Collectively, these issues </w:t>
      </w:r>
      <w:r w:rsidR="00824E21">
        <w:t xml:space="preserve">present both a great challenge but also an extraordinary opportunity for </w:t>
      </w:r>
      <w:r w:rsidR="00CB1D10">
        <w:t xml:space="preserve">the public policy and leadership of </w:t>
      </w:r>
      <w:r w:rsidR="00824E21">
        <w:t xml:space="preserve">a nation pondering its future in times of global and regional uncertainty. As </w:t>
      </w:r>
      <w:r>
        <w:t>OECD Secretary Gen</w:t>
      </w:r>
      <w:r w:rsidR="00824E21">
        <w:t>er</w:t>
      </w:r>
      <w:r>
        <w:t>al Angel Gurria put it</w:t>
      </w:r>
      <w:r w:rsidR="00824E21">
        <w:t>:</w:t>
      </w:r>
    </w:p>
    <w:p w14:paraId="2C36265B" w14:textId="52843376" w:rsidR="006112A8" w:rsidRPr="00824E21" w:rsidRDefault="00824E21" w:rsidP="00824E21">
      <w:pPr>
        <w:ind w:left="720"/>
        <w:rPr>
          <w:b/>
          <w:sz w:val="18"/>
          <w:szCs w:val="18"/>
        </w:rPr>
      </w:pPr>
      <w:r w:rsidRPr="00824E21">
        <w:rPr>
          <w:sz w:val="18"/>
          <w:szCs w:val="18"/>
        </w:rPr>
        <w:t>W</w:t>
      </w:r>
      <w:r w:rsidR="006112A8" w:rsidRPr="00824E21">
        <w:rPr>
          <w:sz w:val="18"/>
          <w:szCs w:val="18"/>
        </w:rPr>
        <w:t>e are facing both an opportunity and a duty to rethink what progress really means and to build stronger and more inclusive visions for the future of our societies.  Citizens are looking for new ways to improve their lives. We need committed citizens, scientists and well-informed leaders ready to engage the whole of society in an assessment of the challenges ahead. Adequate measurements are essential in helping our societies to define their goals; ensure that we design the right policies to achieve them; and tell us whether those policies are working.</w:t>
      </w:r>
      <w:r>
        <w:rPr>
          <w:rStyle w:val="FootnoteReference"/>
          <w:sz w:val="18"/>
          <w:szCs w:val="18"/>
        </w:rPr>
        <w:footnoteReference w:id="12"/>
      </w:r>
    </w:p>
    <w:p w14:paraId="53327319" w14:textId="77777777" w:rsidR="00A413CB" w:rsidRDefault="0034578F" w:rsidP="00C556E0">
      <w:r>
        <w:t xml:space="preserve">The central question </w:t>
      </w:r>
      <w:r w:rsidR="00C556E0">
        <w:t>here</w:t>
      </w:r>
      <w:r w:rsidR="00B63230">
        <w:t xml:space="preserve"> and now</w:t>
      </w:r>
      <w:r>
        <w:t xml:space="preserve"> is ‘</w:t>
      </w:r>
      <w:r w:rsidR="00C556E0">
        <w:t>What</w:t>
      </w:r>
      <w:r>
        <w:t xml:space="preserve"> ki</w:t>
      </w:r>
      <w:r w:rsidR="00C556E0">
        <w:t>n</w:t>
      </w:r>
      <w:r>
        <w:t xml:space="preserve">d of </w:t>
      </w:r>
      <w:r w:rsidR="00C556E0">
        <w:t>Australia</w:t>
      </w:r>
      <w:r>
        <w:t xml:space="preserve"> do we want?</w:t>
      </w:r>
      <w:r w:rsidR="00C556E0">
        <w:t>’</w:t>
      </w:r>
      <w:r>
        <w:t xml:space="preserve">  </w:t>
      </w:r>
      <w:r w:rsidR="00B63230">
        <w:t>If we are to answer this question</w:t>
      </w:r>
      <w:r w:rsidR="00C556E0">
        <w:t xml:space="preserve"> in ways that enhance both our public policy and our democracy, the key will surely be </w:t>
      </w:r>
      <w:r w:rsidR="00B63230">
        <w:t xml:space="preserve">not just </w:t>
      </w:r>
      <w:r w:rsidR="008E1030">
        <w:t xml:space="preserve">addressing ‘the citizens’ experience </w:t>
      </w:r>
      <w:r w:rsidR="00B63230">
        <w:t>of government</w:t>
      </w:r>
      <w:r w:rsidR="008E1030">
        <w:t>’ (considered as</w:t>
      </w:r>
      <w:r w:rsidR="00B63230">
        <w:t xml:space="preserve"> ‘customers’) but their active engagement in it (as partici</w:t>
      </w:r>
      <w:r w:rsidR="00B95AE6">
        <w:t xml:space="preserve">pants, </w:t>
      </w:r>
      <w:r w:rsidR="00B63230">
        <w:t>stakeholders</w:t>
      </w:r>
      <w:r w:rsidR="00B95AE6">
        <w:t xml:space="preserve"> and trus</w:t>
      </w:r>
      <w:r w:rsidR="00B63230">
        <w:t xml:space="preserve">tees). This last is an area </w:t>
      </w:r>
      <w:r w:rsidR="00B95AE6">
        <w:t>in</w:t>
      </w:r>
      <w:r w:rsidR="00B63230">
        <w:t xml:space="preserve"> </w:t>
      </w:r>
      <w:r w:rsidR="00B95AE6">
        <w:t xml:space="preserve">which there is </w:t>
      </w:r>
      <w:r w:rsidR="00C83990">
        <w:t xml:space="preserve">presently </w:t>
      </w:r>
      <w:r w:rsidR="00B95AE6">
        <w:t>at least as much need</w:t>
      </w:r>
      <w:r w:rsidR="00B63230">
        <w:t xml:space="preserve"> for </w:t>
      </w:r>
      <w:r w:rsidR="00B95AE6">
        <w:t>‘</w:t>
      </w:r>
      <w:r w:rsidR="00B63230">
        <w:t>agility</w:t>
      </w:r>
      <w:r w:rsidR="00B95AE6">
        <w:t xml:space="preserve"> and </w:t>
      </w:r>
      <w:r w:rsidR="00B63230">
        <w:t>innovation</w:t>
      </w:r>
      <w:r w:rsidR="00B95AE6">
        <w:t xml:space="preserve">’ </w:t>
      </w:r>
      <w:r w:rsidR="0039587F">
        <w:t xml:space="preserve">– and new ‘dedicated’ </w:t>
      </w:r>
      <w:r w:rsidR="00A413CB">
        <w:t>processes -</w:t>
      </w:r>
      <w:r w:rsidR="00EE5A15">
        <w:t xml:space="preserve"> </w:t>
      </w:r>
      <w:r w:rsidR="00B95AE6">
        <w:t>as there is in more traditional public sector management practice</w:t>
      </w:r>
      <w:r w:rsidR="00C83990">
        <w:t xml:space="preserve">. </w:t>
      </w:r>
    </w:p>
    <w:p w14:paraId="3191EFA1" w14:textId="7DBBD6D0" w:rsidR="00B95AE6" w:rsidRDefault="008E1030" w:rsidP="00C556E0">
      <w:r>
        <w:t>As the European Union has said</w:t>
      </w:r>
    </w:p>
    <w:p w14:paraId="4FDE9168" w14:textId="3734BCCE" w:rsidR="00CA5888" w:rsidRPr="00CA5888" w:rsidRDefault="00CA5888" w:rsidP="00CA5888">
      <w:pPr>
        <w:ind w:left="720"/>
        <w:rPr>
          <w:b/>
          <w:sz w:val="18"/>
          <w:szCs w:val="18"/>
        </w:rPr>
      </w:pPr>
      <w:r w:rsidRPr="00CA5888">
        <w:rPr>
          <w:sz w:val="18"/>
          <w:szCs w:val="18"/>
        </w:rPr>
        <w:t>Civil society, together with the other social and institutional players, should determine the arenas in which the progress of societies is to be gauged, identifying specific areas and salient facts in the economic, social and environmental spheres. This can only be done by means of dedicated information, consultatio</w:t>
      </w:r>
      <w:r w:rsidR="008E1030">
        <w:rPr>
          <w:sz w:val="18"/>
          <w:szCs w:val="18"/>
        </w:rPr>
        <w:t xml:space="preserve">n and participation instruments. </w:t>
      </w:r>
      <w:r w:rsidR="00C83990">
        <w:rPr>
          <w:rStyle w:val="FootnoteReference"/>
          <w:sz w:val="18"/>
          <w:szCs w:val="18"/>
        </w:rPr>
        <w:footnoteReference w:id="13"/>
      </w:r>
    </w:p>
    <w:p w14:paraId="6C48A02A" w14:textId="23EF16C2" w:rsidR="00CA5888" w:rsidRDefault="003D5C94" w:rsidP="00C556E0">
      <w:r>
        <w:t>If the government seeks to ‘(tackle)</w:t>
      </w:r>
      <w:r w:rsidRPr="003D5C94">
        <w:t xml:space="preserve"> complex, multi-sectoral challenges in collaboration with the community, business and citizen</w:t>
      </w:r>
      <w:r w:rsidR="00591DBB">
        <w:t>s</w:t>
      </w:r>
      <w:r>
        <w:t xml:space="preserve">’, then it </w:t>
      </w:r>
      <w:r w:rsidR="00925A90">
        <w:t>c</w:t>
      </w:r>
      <w:r>
        <w:t xml:space="preserve">ould perhaps start by re-appraising </w:t>
      </w:r>
      <w:r w:rsidR="00C83990">
        <w:t xml:space="preserve">the </w:t>
      </w:r>
      <w:r w:rsidR="0039587F">
        <w:t xml:space="preserve">potential </w:t>
      </w:r>
      <w:r w:rsidR="00925A90">
        <w:t>for</w:t>
      </w:r>
      <w:r w:rsidR="0039587F">
        <w:t xml:space="preserve"> a more engaged </w:t>
      </w:r>
      <w:r w:rsidR="008E1030">
        <w:t xml:space="preserve">Australian </w:t>
      </w:r>
      <w:r w:rsidR="0039587F">
        <w:t xml:space="preserve">democracy, and </w:t>
      </w:r>
      <w:r>
        <w:t xml:space="preserve">new forms of </w:t>
      </w:r>
      <w:r w:rsidR="008E1030">
        <w:t xml:space="preserve">collaboration between government and </w:t>
      </w:r>
      <w:r w:rsidR="0039587F">
        <w:t>civil society, in which citizens</w:t>
      </w:r>
      <w:r>
        <w:t xml:space="preserve"> </w:t>
      </w:r>
      <w:r w:rsidR="0082714C">
        <w:t xml:space="preserve">are encouraged to </w:t>
      </w:r>
      <w:r w:rsidR="00591DBB">
        <w:t xml:space="preserve">be active and to </w:t>
      </w:r>
      <w:r w:rsidR="0082714C">
        <w:t>fill</w:t>
      </w:r>
      <w:r>
        <w:t xml:space="preserve"> </w:t>
      </w:r>
      <w:r w:rsidR="0039587F">
        <w:t xml:space="preserve">a variety of roles </w:t>
      </w:r>
      <w:r>
        <w:t>beyond that of increasingly passive customers.</w:t>
      </w:r>
      <w:r w:rsidR="00335A40">
        <w:rPr>
          <w:rStyle w:val="FootnoteReference"/>
        </w:rPr>
        <w:footnoteReference w:id="14"/>
      </w:r>
      <w:r w:rsidR="002E2462">
        <w:t xml:space="preserve"> One innovative and nationally significant example of </w:t>
      </w:r>
      <w:r w:rsidR="00141855">
        <w:t xml:space="preserve">active </w:t>
      </w:r>
      <w:r w:rsidR="002E2462">
        <w:t>citizen engagement in data management and progress measurement in recent times is the Indigenous Data Sovereignty</w:t>
      </w:r>
      <w:r w:rsidR="00C05291">
        <w:t xml:space="preserve"> Movem</w:t>
      </w:r>
      <w:r w:rsidR="002E2462">
        <w:t>ent</w:t>
      </w:r>
      <w:r w:rsidR="00C05291">
        <w:t>.</w:t>
      </w:r>
      <w:r w:rsidR="00C05291">
        <w:rPr>
          <w:rStyle w:val="FootnoteReference"/>
        </w:rPr>
        <w:footnoteReference w:id="15"/>
      </w:r>
      <w:r w:rsidR="002E2462">
        <w:t xml:space="preserve">  </w:t>
      </w:r>
    </w:p>
    <w:p w14:paraId="29A6E014" w14:textId="5375FA42" w:rsidR="00AB3514" w:rsidRPr="000A5BA4" w:rsidRDefault="00EF3D7B" w:rsidP="00B4362B">
      <w:pPr>
        <w:pStyle w:val="Heading2"/>
      </w:pPr>
      <w:r>
        <w:t xml:space="preserve">5.  </w:t>
      </w:r>
      <w:r w:rsidR="005D22C3" w:rsidRPr="000A5BA4">
        <w:t xml:space="preserve">ANDI’s development </w:t>
      </w:r>
      <w:r>
        <w:t>model</w:t>
      </w:r>
    </w:p>
    <w:p w14:paraId="44F3D327" w14:textId="412011B0" w:rsidR="00EF3D7B" w:rsidRDefault="00824E21" w:rsidP="00EF3D7B">
      <w:r>
        <w:t>In the first stage of the pro</w:t>
      </w:r>
      <w:r w:rsidR="00EF3D7B">
        <w:t xml:space="preserve">ject </w:t>
      </w:r>
      <w:r>
        <w:t xml:space="preserve">over the past 18 months, the ANDI project has piloted the index development in two key domains (health and education); carried out a national survey of key progress and wellbeing issues and priorities; piloted a national community engagement program; and developed </w:t>
      </w:r>
      <w:r>
        <w:lastRenderedPageBreak/>
        <w:t xml:space="preserve">a </w:t>
      </w:r>
      <w:r w:rsidR="00A413CB">
        <w:t>long-term</w:t>
      </w:r>
      <w:r>
        <w:t xml:space="preserve"> research and funding program. </w:t>
      </w:r>
      <w:r w:rsidR="00226F66">
        <w:t xml:space="preserve"> </w:t>
      </w:r>
      <w:r w:rsidR="00EF3D7B">
        <w:t xml:space="preserve">The various stages in the overall development of the pilot process are set out in </w:t>
      </w:r>
      <w:r w:rsidR="00A413CB">
        <w:t>Figure 1</w:t>
      </w:r>
      <w:r w:rsidR="00EF3D7B">
        <w:t xml:space="preserve"> below</w:t>
      </w:r>
      <w:r w:rsidR="00A413CB">
        <w:t>.</w:t>
      </w:r>
    </w:p>
    <w:p w14:paraId="0AECD585" w14:textId="45F84ED7" w:rsidR="00A413CB" w:rsidRPr="00B312C9" w:rsidRDefault="00A413CB" w:rsidP="005D1006">
      <w:pPr>
        <w:pStyle w:val="Heading4"/>
        <w:rPr>
          <w:rFonts w:asciiTheme="minorHAnsi" w:hAnsiTheme="minorHAnsi" w:cstheme="minorHAnsi"/>
        </w:rPr>
      </w:pPr>
      <w:r w:rsidRPr="00B312C9">
        <w:rPr>
          <w:rFonts w:asciiTheme="minorHAnsi" w:hAnsiTheme="minorHAnsi" w:cstheme="minorHAnsi"/>
        </w:rPr>
        <w:t>Figure 1: The ANDI Pilot Process</w:t>
      </w:r>
    </w:p>
    <w:p w14:paraId="61F564F2" w14:textId="77777777" w:rsidR="005D1006" w:rsidRPr="005D1006" w:rsidRDefault="005D1006" w:rsidP="005D1006">
      <w:pPr>
        <w:spacing w:after="0"/>
      </w:pPr>
    </w:p>
    <w:p w14:paraId="55BEA935" w14:textId="7D97D5D9" w:rsidR="00EF3D7B" w:rsidRDefault="00EF3D7B" w:rsidP="00226F66">
      <w:pPr>
        <w:jc w:val="center"/>
      </w:pPr>
      <w:r>
        <w:rPr>
          <w:noProof/>
          <w:lang w:eastAsia="en-AU"/>
        </w:rPr>
        <w:drawing>
          <wp:inline distT="0" distB="0" distL="0" distR="0" wp14:anchorId="4689C342" wp14:editId="68DFE01A">
            <wp:extent cx="4038600" cy="3860800"/>
            <wp:effectExtent l="0" t="0" r="0" b="6350"/>
            <wp:docPr id="1" name="Picture" descr="Figure 1. ANDI Seven Step Pilot Process"/>
            <wp:cNvGraphicFramePr/>
            <a:graphic xmlns:a="http://schemas.openxmlformats.org/drawingml/2006/main">
              <a:graphicData uri="http://schemas.openxmlformats.org/drawingml/2006/picture">
                <pic:pic xmlns:pic="http://schemas.openxmlformats.org/drawingml/2006/picture">
                  <pic:nvPicPr>
                    <pic:cNvPr id="0" name="Picture" descr="/Users/matthewcourtney/Desktop/ANDI%20Material/Working%20Documents/7%20step%20process%20Draft%204.png"/>
                    <pic:cNvPicPr>
                      <a:picLocks noChangeAspect="1" noChangeArrowheads="1"/>
                    </pic:cNvPicPr>
                  </pic:nvPicPr>
                  <pic:blipFill>
                    <a:blip r:embed="rId8"/>
                    <a:stretch>
                      <a:fillRect/>
                    </a:stretch>
                  </pic:blipFill>
                  <pic:spPr bwMode="auto">
                    <a:xfrm>
                      <a:off x="0" y="0"/>
                      <a:ext cx="4088698" cy="3908692"/>
                    </a:xfrm>
                    <a:prstGeom prst="rect">
                      <a:avLst/>
                    </a:prstGeom>
                    <a:noFill/>
                    <a:ln w="9525">
                      <a:noFill/>
                      <a:headEnd/>
                      <a:tailEnd/>
                    </a:ln>
                  </pic:spPr>
                </pic:pic>
              </a:graphicData>
            </a:graphic>
          </wp:inline>
        </w:drawing>
      </w:r>
    </w:p>
    <w:p w14:paraId="5400DCC9" w14:textId="77777777" w:rsidR="00226F66" w:rsidRDefault="00226F66" w:rsidP="00EF3D7B"/>
    <w:p w14:paraId="659DAE10" w14:textId="6BA8F33E" w:rsidR="00EF3D7B" w:rsidRDefault="00EF3D7B" w:rsidP="00EF3D7B">
      <w:r>
        <w:t xml:space="preserve">Over the next 5 years, the project will </w:t>
      </w:r>
      <w:r w:rsidR="00A413CB">
        <w:t>carry out</w:t>
      </w:r>
      <w:r>
        <w:t xml:space="preserve"> a large-scale national community engagement program and fully develop its overall index and twelve progress domains and indices, gradually enlarging the number of the project’s community partners, research collaborators and funders. The long-term aim is to develop an enduring </w:t>
      </w:r>
      <w:r w:rsidR="00A413CB">
        <w:t>framework</w:t>
      </w:r>
      <w:r>
        <w:t xml:space="preserve"> for discussing, defining, measuring and promoting national progress that is a world leader, incorporates best practice from the OECD and other national models, and has high levels of public trust and policy utility.</w:t>
      </w:r>
    </w:p>
    <w:p w14:paraId="530ED0EE" w14:textId="49264CFB" w:rsidR="00EE5A15" w:rsidRPr="00D83854" w:rsidRDefault="00EE5A15" w:rsidP="00EE5A15">
      <w:pPr>
        <w:pStyle w:val="Heading3"/>
        <w:rPr>
          <w:color w:val="2F5496" w:themeColor="accent1" w:themeShade="BF"/>
        </w:rPr>
      </w:pPr>
      <w:r w:rsidRPr="00D83854">
        <w:rPr>
          <w:color w:val="2F5496" w:themeColor="accent1" w:themeShade="BF"/>
        </w:rPr>
        <w:t>Community engagement</w:t>
      </w:r>
      <w:r w:rsidR="00173F64" w:rsidRPr="00D83854">
        <w:rPr>
          <w:color w:val="2F5496" w:themeColor="accent1" w:themeShade="BF"/>
        </w:rPr>
        <w:t xml:space="preserve"> innovations</w:t>
      </w:r>
    </w:p>
    <w:p w14:paraId="1E0D007D" w14:textId="2648E645" w:rsidR="00226F66" w:rsidRDefault="00CB1D10" w:rsidP="00181E84">
      <w:r>
        <w:t xml:space="preserve">As indicated earlier, </w:t>
      </w:r>
      <w:r w:rsidR="00181E84">
        <w:t xml:space="preserve">ANDI, </w:t>
      </w:r>
      <w:r w:rsidR="001B5B3A">
        <w:t>in common</w:t>
      </w:r>
      <w:r w:rsidR="00181E84">
        <w:t xml:space="preserve"> with </w:t>
      </w:r>
      <w:r w:rsidR="00654EAC">
        <w:t xml:space="preserve">other leading international projects (such as </w:t>
      </w:r>
      <w:r w:rsidR="00181E84">
        <w:t>the Canadian Index of Wellbeing</w:t>
      </w:r>
      <w:r w:rsidR="00EE5A15">
        <w:rPr>
          <w:rStyle w:val="FootnoteReference"/>
        </w:rPr>
        <w:footnoteReference w:id="16"/>
      </w:r>
      <w:r w:rsidR="00654EAC">
        <w:t xml:space="preserve"> and </w:t>
      </w:r>
      <w:r w:rsidR="001B5B3A">
        <w:t xml:space="preserve">the </w:t>
      </w:r>
      <w:r w:rsidR="00EE5A15">
        <w:t>Welsh government</w:t>
      </w:r>
      <w:r w:rsidR="00654EAC">
        <w:t>’s</w:t>
      </w:r>
      <w:r w:rsidR="001B5B3A">
        <w:t xml:space="preserve"> ‘The Wales We Want National Conversation’</w:t>
      </w:r>
      <w:r w:rsidR="00EE5A15">
        <w:rPr>
          <w:rStyle w:val="FootnoteReference"/>
        </w:rPr>
        <w:footnoteReference w:id="17"/>
      </w:r>
      <w:r w:rsidR="00654EAC">
        <w:t>)</w:t>
      </w:r>
      <w:r w:rsidR="001B5B3A">
        <w:t xml:space="preserve"> </w:t>
      </w:r>
      <w:r w:rsidR="00181E84">
        <w:t>is using a 3</w:t>
      </w:r>
      <w:r w:rsidR="001B5B3A">
        <w:t>-</w:t>
      </w:r>
      <w:r w:rsidR="00181E84">
        <w:t xml:space="preserve">stage approach to developing better measures. The first </w:t>
      </w:r>
      <w:r w:rsidR="002630CD">
        <w:t xml:space="preserve">stage </w:t>
      </w:r>
      <w:r w:rsidR="00181E84">
        <w:t xml:space="preserve">is to have an ongoing conversation with Australians as to what they want their country to be for them.  Various methods have been pilot tested and existing surveys used to see how best to ask the </w:t>
      </w:r>
      <w:r w:rsidR="00B77C87">
        <w:t>p</w:t>
      </w:r>
      <w:r w:rsidR="00B77C87">
        <w:t>eople</w:t>
      </w:r>
      <w:r w:rsidR="00B77C87">
        <w:t xml:space="preserve"> </w:t>
      </w:r>
      <w:r w:rsidR="00181E84">
        <w:t xml:space="preserve">for their views on what they value most about Australia.  </w:t>
      </w:r>
    </w:p>
    <w:p w14:paraId="5D8813BD" w14:textId="682D6598" w:rsidR="00C94C9A" w:rsidRDefault="00226F66" w:rsidP="00226F66">
      <w:r>
        <w:lastRenderedPageBreak/>
        <w:t xml:space="preserve">For the full national community process, we are proposing </w:t>
      </w:r>
      <w:r w:rsidR="00EF3D7B">
        <w:t xml:space="preserve">to </w:t>
      </w:r>
      <w:r>
        <w:t>engage the Australian community as widely as possible in orde</w:t>
      </w:r>
      <w:r w:rsidR="00842BA9">
        <w:t xml:space="preserve">r to </w:t>
      </w:r>
      <w:r>
        <w:t xml:space="preserve">develop a shared vision of national progress, obtain direct input </w:t>
      </w:r>
      <w:r w:rsidR="00842BA9">
        <w:t xml:space="preserve">on goals and priorities, build </w:t>
      </w:r>
      <w:r>
        <w:t xml:space="preserve">legitimacy and trust for the index and in the process, strengthen Australian democracy. </w:t>
      </w:r>
    </w:p>
    <w:p w14:paraId="17D4FAE7" w14:textId="790831D0" w:rsidR="00226F66" w:rsidRDefault="00C94C9A" w:rsidP="00226F66">
      <w:r>
        <w:t xml:space="preserve">This </w:t>
      </w:r>
      <w:r w:rsidR="00226F66">
        <w:t xml:space="preserve">national program will be built around the central question ‘What kind of Australia do we want?’. </w:t>
      </w:r>
      <w:r w:rsidR="00654EAC">
        <w:t>It will</w:t>
      </w:r>
      <w:r w:rsidR="00226F66">
        <w:t xml:space="preserve"> be carried out over three years and will aim to directly involve 500,000 Australians through </w:t>
      </w:r>
      <w:r w:rsidR="00654EAC">
        <w:t>a wide</w:t>
      </w:r>
      <w:r w:rsidR="00226F66">
        <w:t xml:space="preserve"> array of platforms and programs: surveys, focus groups, town ha</w:t>
      </w:r>
      <w:r w:rsidR="00842BA9">
        <w:t xml:space="preserve">ll and kitchen table meetings, </w:t>
      </w:r>
      <w:r w:rsidR="00226F66">
        <w:t xml:space="preserve">social media and blogs, school curricula, film and video. To support </w:t>
      </w:r>
      <w:r w:rsidR="00E63880">
        <w:t xml:space="preserve">the program, ANDI will seek to </w:t>
      </w:r>
      <w:r w:rsidR="00226F66">
        <w:t>enlist a major national media partner and will fully utilise t</w:t>
      </w:r>
      <w:r>
        <w:t xml:space="preserve">he widespread networks of ANDI </w:t>
      </w:r>
      <w:r w:rsidR="00226F66">
        <w:t xml:space="preserve">partners and their two million members. The UNDP has </w:t>
      </w:r>
      <w:r w:rsidR="00DA5EC9">
        <w:t>agreed in principle</w:t>
      </w:r>
      <w:r w:rsidR="00E63880">
        <w:t xml:space="preserve"> to ANDI </w:t>
      </w:r>
      <w:r w:rsidR="00226F66">
        <w:t>adaptin</w:t>
      </w:r>
      <w:r w:rsidR="005B4E2A">
        <w:t xml:space="preserve">g its successful global survey </w:t>
      </w:r>
      <w:r w:rsidR="00226F66" w:rsidRPr="005B4E2A">
        <w:rPr>
          <w:i/>
        </w:rPr>
        <w:t>MyWorld2015</w:t>
      </w:r>
      <w:r w:rsidR="005B4E2A">
        <w:t xml:space="preserve"> </w:t>
      </w:r>
      <w:r w:rsidR="00654EAC">
        <w:rPr>
          <w:rStyle w:val="FootnoteReference"/>
        </w:rPr>
        <w:footnoteReference w:id="18"/>
      </w:r>
      <w:r w:rsidR="00654EAC">
        <w:t xml:space="preserve"> </w:t>
      </w:r>
      <w:r w:rsidR="00226F66">
        <w:t xml:space="preserve">as </w:t>
      </w:r>
      <w:r w:rsidR="00F9455B">
        <w:t>ANDI’s</w:t>
      </w:r>
      <w:r w:rsidR="00226F66">
        <w:t xml:space="preserve"> major intera</w:t>
      </w:r>
      <w:r w:rsidR="00F9455B">
        <w:t>ctive platform and we propose to adapt this for</w:t>
      </w:r>
      <w:r w:rsidR="00894C95">
        <w:t xml:space="preserve"> use with a Smart Phone App, thu</w:t>
      </w:r>
      <w:r w:rsidR="00F9455B">
        <w:t>s increasing its likely a</w:t>
      </w:r>
      <w:r w:rsidR="00894C95">
        <w:t>ttraction, especially for younger</w:t>
      </w:r>
      <w:r w:rsidR="00F9455B">
        <w:t xml:space="preserve"> A</w:t>
      </w:r>
      <w:r w:rsidR="00894C95">
        <w:t>us</w:t>
      </w:r>
      <w:r w:rsidR="00F9455B">
        <w:t>tralians.</w:t>
      </w:r>
      <w:r w:rsidR="00226F66">
        <w:t xml:space="preserve"> Ther</w:t>
      </w:r>
      <w:r w:rsidR="00894C95">
        <w:t xml:space="preserve">e </w:t>
      </w:r>
      <w:r w:rsidR="00226F66">
        <w:t>will also be citizen and stakeholder engagement in eac</w:t>
      </w:r>
      <w:r w:rsidR="00E63880">
        <w:t>h of the twelve ‘domain’ development groups</w:t>
      </w:r>
      <w:r w:rsidR="00226F66">
        <w:t>.</w:t>
      </w:r>
    </w:p>
    <w:p w14:paraId="34896CEA" w14:textId="31C9AD59" w:rsidR="00C94C9A" w:rsidRDefault="00C94C9A" w:rsidP="00C94C9A">
      <w:r>
        <w:t>ANDI aims to ensure that citizens</w:t>
      </w:r>
      <w:r w:rsidR="005B4E2A">
        <w:t>’</w:t>
      </w:r>
      <w:r>
        <w:t xml:space="preserve"> voices help set the priorities across all areas of government.  Asking a large and representative sample of Australians what they value and want from their governments for </w:t>
      </w:r>
      <w:r w:rsidR="00E63880">
        <w:t>themselves,</w:t>
      </w:r>
      <w:r>
        <w:t xml:space="preserve"> their families</w:t>
      </w:r>
      <w:r w:rsidR="00E63880">
        <w:t xml:space="preserve"> and their community</w:t>
      </w:r>
      <w:r>
        <w:t xml:space="preserve"> (now and in the future) </w:t>
      </w:r>
      <w:r w:rsidR="005B4E2A">
        <w:t>enhanc</w:t>
      </w:r>
      <w:r>
        <w:t>es democracy and will certainly ‘improve citizens’ experience of government</w:t>
      </w:r>
      <w:r w:rsidR="005B4E2A">
        <w:t>’</w:t>
      </w:r>
      <w:r>
        <w:t xml:space="preserve">.  </w:t>
      </w:r>
      <w:r w:rsidR="00E63880">
        <w:t>These</w:t>
      </w:r>
      <w:r>
        <w:t xml:space="preserve"> conversations will be ongoing, </w:t>
      </w:r>
      <w:r w:rsidR="00E63880">
        <w:t>and this will mean</w:t>
      </w:r>
      <w:r>
        <w:t xml:space="preserve"> that government can keep up with what the community is thinking in a rapidly changing society. </w:t>
      </w:r>
    </w:p>
    <w:p w14:paraId="486A21CF" w14:textId="3AD2693F" w:rsidR="00C94C9A" w:rsidRDefault="00C94C9A" w:rsidP="00173F64">
      <w:r>
        <w:t>Even more importantly, in the longer term a successful program of this kind, prov</w:t>
      </w:r>
      <w:r w:rsidR="00173F64">
        <w:t>ided</w:t>
      </w:r>
      <w:r>
        <w:t xml:space="preserve"> it is trans</w:t>
      </w:r>
      <w:r w:rsidR="00173F64">
        <w:t>parent,</w:t>
      </w:r>
      <w:r>
        <w:t xml:space="preserve"> </w:t>
      </w:r>
      <w:r w:rsidR="00173F64">
        <w:t>inclusive and accessible to all, can help to re-build citizens</w:t>
      </w:r>
      <w:r w:rsidR="00654EAC">
        <w:t>’</w:t>
      </w:r>
      <w:r w:rsidR="00173F64">
        <w:t xml:space="preserve"> confidence in government and </w:t>
      </w:r>
      <w:r w:rsidR="00654EAC">
        <w:t>democracy, directly</w:t>
      </w:r>
      <w:r w:rsidR="00173F64">
        <w:t xml:space="preserve"> enhance their citizenship skills and help create a shared national vision for Australia’s future.</w:t>
      </w:r>
    </w:p>
    <w:p w14:paraId="1D61C8A3" w14:textId="1C811EBD" w:rsidR="00173F64" w:rsidRPr="00D83854" w:rsidRDefault="005D1006" w:rsidP="00173F64">
      <w:pPr>
        <w:pStyle w:val="Heading3"/>
        <w:rPr>
          <w:color w:val="2F5496" w:themeColor="accent1" w:themeShade="BF"/>
        </w:rPr>
      </w:pPr>
      <w:r w:rsidRPr="00D83854">
        <w:rPr>
          <w:color w:val="2F5496" w:themeColor="accent1" w:themeShade="BF"/>
        </w:rPr>
        <w:t>Public policy benefits</w:t>
      </w:r>
    </w:p>
    <w:p w14:paraId="58C7F73A" w14:textId="68C481E3" w:rsidR="00852907" w:rsidRDefault="00173F64" w:rsidP="00173F64">
      <w:r>
        <w:t xml:space="preserve">ANDI </w:t>
      </w:r>
      <w:r w:rsidR="00852907">
        <w:t>is</w:t>
      </w:r>
      <w:r>
        <w:t xml:space="preserve"> a potentially powerful </w:t>
      </w:r>
      <w:r w:rsidR="00852907">
        <w:t>vehicle</w:t>
      </w:r>
      <w:r>
        <w:t xml:space="preserve"> for national planning and policy </w:t>
      </w:r>
      <w:r w:rsidR="00C42E87">
        <w:t>making</w:t>
      </w:r>
      <w:r w:rsidR="00B8641E">
        <w:t xml:space="preserve">. </w:t>
      </w:r>
      <w:r>
        <w:t xml:space="preserve"> </w:t>
      </w:r>
    </w:p>
    <w:p w14:paraId="4B5AD667" w14:textId="26AFA8E9" w:rsidR="00173F64" w:rsidRDefault="00B8641E" w:rsidP="00173F64">
      <w:r>
        <w:t>For a nation, as for corporation</w:t>
      </w:r>
      <w:r w:rsidR="00852907">
        <w:t>s</w:t>
      </w:r>
      <w:r>
        <w:t xml:space="preserve"> and individual</w:t>
      </w:r>
      <w:r w:rsidR="00852907">
        <w:t>s</w:t>
      </w:r>
      <w:r>
        <w:t>, ‘true progress’ consists in moving towards clearly articulated goals, rather than simply producing more or doing better than last year.</w:t>
      </w:r>
      <w:r w:rsidR="00E105B9">
        <w:t xml:space="preserve"> </w:t>
      </w:r>
      <w:r>
        <w:t>ANDI will</w:t>
      </w:r>
      <w:r w:rsidR="00173F64">
        <w:t xml:space="preserve"> aim to measure </w:t>
      </w:r>
      <w:r>
        <w:t xml:space="preserve">Australia’s </w:t>
      </w:r>
      <w:r w:rsidR="00852907">
        <w:t xml:space="preserve">‘true </w:t>
      </w:r>
      <w:r>
        <w:t>progress</w:t>
      </w:r>
      <w:r w:rsidR="00852907">
        <w:t>’</w:t>
      </w:r>
      <w:r>
        <w:t xml:space="preserve"> against a set of c</w:t>
      </w:r>
      <w:r w:rsidR="000E7910">
        <w:t>oncrete, c</w:t>
      </w:r>
      <w:r>
        <w:t xml:space="preserve">ommunity-validated </w:t>
      </w:r>
      <w:r w:rsidR="00173F64">
        <w:t>goals</w:t>
      </w:r>
      <w:r w:rsidR="00AD65E5">
        <w:t xml:space="preserve"> and aspirations</w:t>
      </w:r>
      <w:r w:rsidR="00173F64">
        <w:t>.  The ANDI model has 12 domains</w:t>
      </w:r>
      <w:r w:rsidR="00852907">
        <w:t>, as</w:t>
      </w:r>
      <w:r w:rsidR="00173F64">
        <w:t xml:space="preserve"> illustrated </w:t>
      </w:r>
      <w:r w:rsidR="005B4E2A">
        <w:t xml:space="preserve">in Figure 2 </w:t>
      </w:r>
      <w:r w:rsidR="00173F64">
        <w:t>below.</w:t>
      </w:r>
      <w:r w:rsidR="00852907">
        <w:t xml:space="preserve"> For e</w:t>
      </w:r>
      <w:r w:rsidR="00AD65E5">
        <w:t>ach domain twelve clear goals</w:t>
      </w:r>
      <w:r w:rsidR="00894C95">
        <w:t xml:space="preserve"> or sub-domains</w:t>
      </w:r>
      <w:r w:rsidR="00AD65E5">
        <w:t xml:space="preserve"> will be identified </w:t>
      </w:r>
      <w:r w:rsidR="00852907">
        <w:t>(</w:t>
      </w:r>
      <w:r w:rsidR="00AD65E5">
        <w:t>by the community and expert process indicated earlier</w:t>
      </w:r>
      <w:r w:rsidR="00852907">
        <w:t>) as those which are judged most important for national progress</w:t>
      </w:r>
      <w:r w:rsidR="00896C6C">
        <w:t>, each weighted for its perceived importance</w:t>
      </w:r>
      <w:r w:rsidR="00AD65E5">
        <w:t>. T</w:t>
      </w:r>
      <w:r w:rsidR="00852907">
        <w:t>hus</w:t>
      </w:r>
      <w:r w:rsidR="00654EAC">
        <w:t xml:space="preserve">, </w:t>
      </w:r>
      <w:r w:rsidR="00852907">
        <w:t>t</w:t>
      </w:r>
      <w:r w:rsidR="00AD65E5">
        <w:t xml:space="preserve">aken as whole, the ANDI framework could be seen as a program </w:t>
      </w:r>
      <w:r w:rsidR="00F9455B">
        <w:t>for A</w:t>
      </w:r>
      <w:r w:rsidR="00AD65E5">
        <w:t>ustralia’s future development</w:t>
      </w:r>
      <w:r w:rsidR="00F9455B">
        <w:t xml:space="preserve">, a concrete statement of </w:t>
      </w:r>
      <w:r w:rsidR="00AD65E5">
        <w:t xml:space="preserve">the </w:t>
      </w:r>
      <w:r w:rsidR="00C42E87">
        <w:t xml:space="preserve">outcomes needed to achieve the kind of country that Australians want theirs to be. </w:t>
      </w:r>
    </w:p>
    <w:p w14:paraId="76E0084E" w14:textId="6422B91C" w:rsidR="00173F64" w:rsidRPr="00B312C9" w:rsidRDefault="00654EAC" w:rsidP="002051C0">
      <w:pPr>
        <w:pStyle w:val="Heading4"/>
        <w:rPr>
          <w:rFonts w:asciiTheme="minorHAnsi" w:hAnsiTheme="minorHAnsi" w:cstheme="minorHAnsi"/>
        </w:rPr>
      </w:pPr>
      <w:r w:rsidRPr="00B312C9">
        <w:rPr>
          <w:rFonts w:asciiTheme="minorHAnsi" w:hAnsiTheme="minorHAnsi" w:cstheme="minorHAnsi"/>
        </w:rPr>
        <w:lastRenderedPageBreak/>
        <w:t>Figure 2: ANDI’s twelve progress domains</w:t>
      </w:r>
    </w:p>
    <w:p w14:paraId="4D2DC42A" w14:textId="16508376" w:rsidR="00173F64" w:rsidRDefault="00173F64" w:rsidP="00894C95">
      <w:pPr>
        <w:jc w:val="center"/>
      </w:pPr>
      <w:r>
        <w:rPr>
          <w:rFonts w:ascii="Times New Roman" w:hAnsi="Times New Roman" w:cs="Times New Roman"/>
          <w:noProof/>
          <w:lang w:eastAsia="en-AU"/>
        </w:rPr>
        <w:drawing>
          <wp:inline distT="0" distB="0" distL="0" distR="0" wp14:anchorId="78B002A2" wp14:editId="1361E64F">
            <wp:extent cx="3396833" cy="326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421" cy="3314430"/>
                    </a:xfrm>
                    <a:prstGeom prst="rect">
                      <a:avLst/>
                    </a:prstGeom>
                    <a:noFill/>
                    <a:ln>
                      <a:noFill/>
                    </a:ln>
                  </pic:spPr>
                </pic:pic>
              </a:graphicData>
            </a:graphic>
          </wp:inline>
        </w:drawing>
      </w:r>
    </w:p>
    <w:p w14:paraId="70750EF0" w14:textId="103B2FDE" w:rsidR="00AD65E5" w:rsidRDefault="00F9455B" w:rsidP="00173F64">
      <w:r>
        <w:t xml:space="preserve">From another perspective, the ANDI framework will be a powerful </w:t>
      </w:r>
      <w:r w:rsidR="00896C6C">
        <w:t xml:space="preserve">policy </w:t>
      </w:r>
      <w:r>
        <w:t>diagnostic tool. W</w:t>
      </w:r>
      <w:r w:rsidR="00AD65E5">
        <w:t xml:space="preserve">hen the Index is fully developed, </w:t>
      </w:r>
      <w:r w:rsidR="00173F64">
        <w:t>using the ANDI domains</w:t>
      </w:r>
      <w:r w:rsidR="00AD65E5">
        <w:t xml:space="preserve"> and goals</w:t>
      </w:r>
      <w:r w:rsidR="00173F64">
        <w:t xml:space="preserve">, </w:t>
      </w:r>
      <w:r w:rsidR="00AD65E5">
        <w:t xml:space="preserve">policymakers and </w:t>
      </w:r>
      <w:r w:rsidR="00B312C9">
        <w:t>citizens</w:t>
      </w:r>
      <w:r w:rsidR="00173F64">
        <w:t xml:space="preserve"> </w:t>
      </w:r>
      <w:r>
        <w:t xml:space="preserve">will be able to </w:t>
      </w:r>
      <w:r w:rsidR="00173F64">
        <w:t xml:space="preserve">interrogate what are the key areas driving success or failure in relation to Australia’s </w:t>
      </w:r>
      <w:r>
        <w:t xml:space="preserve">overall </w:t>
      </w:r>
      <w:r w:rsidR="00173F64">
        <w:t>progress</w:t>
      </w:r>
      <w:r w:rsidR="00AD65E5">
        <w:t xml:space="preserve">, both at the levels of the </w:t>
      </w:r>
      <w:r>
        <w:t>individual domains of progress and within each domai</w:t>
      </w:r>
      <w:r w:rsidR="00AD65E5">
        <w:t>n.</w:t>
      </w:r>
    </w:p>
    <w:p w14:paraId="5AE8DFC4" w14:textId="219E3450" w:rsidR="00896C6C" w:rsidRDefault="00894C95" w:rsidP="00173F64">
      <w:r>
        <w:t>Given</w:t>
      </w:r>
      <w:r w:rsidR="00173F64">
        <w:t xml:space="preserve"> </w:t>
      </w:r>
      <w:r>
        <w:t>ANDI’s</w:t>
      </w:r>
      <w:r w:rsidR="00173F64">
        <w:t xml:space="preserve"> </w:t>
      </w:r>
      <w:r>
        <w:t>‘</w:t>
      </w:r>
      <w:r w:rsidR="00173F64">
        <w:t xml:space="preserve">12 </w:t>
      </w:r>
      <w:r>
        <w:t xml:space="preserve">x </w:t>
      </w:r>
      <w:r w:rsidR="00173F64">
        <w:t>12</w:t>
      </w:r>
      <w:r>
        <w:t>’</w:t>
      </w:r>
      <w:r w:rsidR="00173F64">
        <w:t xml:space="preserve"> domains</w:t>
      </w:r>
      <w:r>
        <w:t>/sub-domains</w:t>
      </w:r>
      <w:r w:rsidR="00173F64">
        <w:t xml:space="preserve"> model</w:t>
      </w:r>
      <w:r>
        <w:t>, the Index can</w:t>
      </w:r>
      <w:r w:rsidR="00173F64">
        <w:t xml:space="preserve"> help guide policy change by identifying the areas that are mos</w:t>
      </w:r>
      <w:r w:rsidR="005B4E2A">
        <w:t>t influential for wellbeing and progress.</w:t>
      </w:r>
      <w:r w:rsidR="00896C6C">
        <w:t xml:space="preserve">  Going deeper in</w:t>
      </w:r>
      <w:r w:rsidR="00173F64">
        <w:t xml:space="preserve">to the sub-domains in each domain, it will be possible to tease out the pathways which need to be </w:t>
      </w:r>
      <w:r w:rsidR="00C42E87">
        <w:t>taken</w:t>
      </w:r>
      <w:r w:rsidR="00173F64">
        <w:t xml:space="preserve"> to achieve better outcomes. For example, in the pilot, we have </w:t>
      </w:r>
      <w:r w:rsidR="00D27BC6">
        <w:t>seen</w:t>
      </w:r>
      <w:r w:rsidR="00B312C9">
        <w:t>,</w:t>
      </w:r>
      <w:r w:rsidR="00D27BC6">
        <w:t xml:space="preserve"> as others have</w:t>
      </w:r>
      <w:r w:rsidR="00B312C9">
        <w:t>,</w:t>
      </w:r>
      <w:r w:rsidR="00D27BC6">
        <w:t xml:space="preserve"> </w:t>
      </w:r>
      <w:r w:rsidR="00173F64">
        <w:t xml:space="preserve">that our education </w:t>
      </w:r>
      <w:r w:rsidR="00852907">
        <w:t xml:space="preserve">progress </w:t>
      </w:r>
      <w:r w:rsidR="00173F64">
        <w:t xml:space="preserve">measures are going backwards and that </w:t>
      </w:r>
      <w:r w:rsidR="004509BD">
        <w:t xml:space="preserve">a </w:t>
      </w:r>
      <w:r w:rsidR="00173F64">
        <w:t xml:space="preserve">key reason for this is inequity, </w:t>
      </w:r>
      <w:r w:rsidR="00B312C9">
        <w:t xml:space="preserve">lies </w:t>
      </w:r>
      <w:r w:rsidR="00173F64">
        <w:t xml:space="preserve">with more poor and marginalised children dropping out of school prematurely.  Hence it may be that these pathways need to have a greater investment by government than others. The same formula can be used in health, justice, </w:t>
      </w:r>
      <w:r w:rsidR="00C42E87">
        <w:t xml:space="preserve">the </w:t>
      </w:r>
      <w:r w:rsidR="00173F64">
        <w:t xml:space="preserve">environment, etc.  </w:t>
      </w:r>
      <w:r w:rsidR="00896C6C">
        <w:t xml:space="preserve">To make this complex information </w:t>
      </w:r>
      <w:r w:rsidR="005B4E2A">
        <w:t xml:space="preserve">accessible </w:t>
      </w:r>
      <w:r w:rsidR="00896C6C">
        <w:t>and attractive</w:t>
      </w:r>
      <w:r w:rsidR="005B4E2A">
        <w:t>,</w:t>
      </w:r>
      <w:r w:rsidR="00896C6C">
        <w:t xml:space="preserve"> we are developing a graphic display platform that easily enables this ‘drilling down’ process</w:t>
      </w:r>
      <w:r w:rsidR="00155F36">
        <w:t>, right down to th</w:t>
      </w:r>
      <w:r w:rsidR="00896C6C">
        <w:t>e ac</w:t>
      </w:r>
      <w:r w:rsidR="00155F36">
        <w:t>tual data</w:t>
      </w:r>
      <w:r w:rsidR="00896C6C">
        <w:t xml:space="preserve"> or sta</w:t>
      </w:r>
      <w:r w:rsidR="00155F36">
        <w:t>tistics used for k</w:t>
      </w:r>
      <w:r w:rsidR="00896C6C">
        <w:t xml:space="preserve">ey </w:t>
      </w:r>
      <w:r w:rsidR="00155F36">
        <w:t>indicators.</w:t>
      </w:r>
      <w:r w:rsidR="00896C6C">
        <w:t xml:space="preserve"> </w:t>
      </w:r>
    </w:p>
    <w:p w14:paraId="2A2CE45F" w14:textId="6C2D001E" w:rsidR="005D1006" w:rsidRDefault="00155F36" w:rsidP="005D1006">
      <w:r>
        <w:t>Over time, ANDI’s</w:t>
      </w:r>
      <w:r w:rsidR="00896C6C">
        <w:t xml:space="preserve"> unique approach </w:t>
      </w:r>
      <w:r>
        <w:t>(developing</w:t>
      </w:r>
      <w:r w:rsidR="00896C6C">
        <w:t xml:space="preserve"> a </w:t>
      </w:r>
      <w:r>
        <w:t>‘</w:t>
      </w:r>
      <w:r w:rsidR="00896C6C">
        <w:t>vision</w:t>
      </w:r>
      <w:r>
        <w:t>’</w:t>
      </w:r>
      <w:r w:rsidR="00896C6C">
        <w:t xml:space="preserve"> for Australia based on the values </w:t>
      </w:r>
      <w:r>
        <w:t xml:space="preserve">and goals </w:t>
      </w:r>
      <w:r w:rsidR="00896C6C">
        <w:t xml:space="preserve">for which the people </w:t>
      </w:r>
      <w:r>
        <w:t>‘</w:t>
      </w:r>
      <w:r w:rsidR="00896C6C">
        <w:t>vo</w:t>
      </w:r>
      <w:r>
        <w:t>te’</w:t>
      </w:r>
      <w:r w:rsidR="005D1006">
        <w:t xml:space="preserve"> and measuring progress towards it</w:t>
      </w:r>
      <w:r>
        <w:t>)</w:t>
      </w:r>
      <w:r w:rsidR="00896C6C">
        <w:t xml:space="preserve"> </w:t>
      </w:r>
      <w:r w:rsidR="005D1006">
        <w:t>could</w:t>
      </w:r>
      <w:r w:rsidR="00896C6C">
        <w:t xml:space="preserve"> help </w:t>
      </w:r>
      <w:r w:rsidR="005D1006">
        <w:t xml:space="preserve">to move policy-making </w:t>
      </w:r>
      <w:r>
        <w:t>away from partisan decision</w:t>
      </w:r>
      <w:r w:rsidR="005D1006">
        <w:t>s</w:t>
      </w:r>
      <w:r w:rsidR="00896C6C">
        <w:t xml:space="preserve"> </w:t>
      </w:r>
      <w:r>
        <w:t xml:space="preserve">and </w:t>
      </w:r>
      <w:r w:rsidR="005D1006">
        <w:t>endless</w:t>
      </w:r>
      <w:r>
        <w:t xml:space="preserve"> </w:t>
      </w:r>
      <w:r w:rsidR="005D1006">
        <w:t>debate</w:t>
      </w:r>
      <w:r>
        <w:t xml:space="preserve"> about ‘the true facts’ – a situation </w:t>
      </w:r>
      <w:r w:rsidR="00896C6C">
        <w:t xml:space="preserve">which </w:t>
      </w:r>
      <w:r>
        <w:t>often</w:t>
      </w:r>
      <w:r w:rsidR="00896C6C">
        <w:t xml:space="preserve"> </w:t>
      </w:r>
      <w:r>
        <w:t>leads</w:t>
      </w:r>
      <w:r w:rsidR="00896C6C">
        <w:t xml:space="preserve"> </w:t>
      </w:r>
      <w:r>
        <w:t xml:space="preserve">to </w:t>
      </w:r>
      <w:r w:rsidR="00896C6C">
        <w:t>policies which are n</w:t>
      </w:r>
      <w:r>
        <w:t>either</w:t>
      </w:r>
      <w:r w:rsidR="00896C6C">
        <w:t xml:space="preserve"> evidence</w:t>
      </w:r>
      <w:r>
        <w:t>-</w:t>
      </w:r>
      <w:r w:rsidR="00896C6C">
        <w:t xml:space="preserve">based nor particularly valued by the community. </w:t>
      </w:r>
      <w:r w:rsidR="005D1006">
        <w:t>This outcome would have particular benefits for the Australian Public Service, in a key goal area of the present inquiry:  ‘improving how the APS monitors and measures its performance and ensuring the transparent and most effective use of taxpayers’ money in delivering outcomes’.</w:t>
      </w:r>
    </w:p>
    <w:p w14:paraId="326752D0" w14:textId="77777777" w:rsidR="002051C0" w:rsidRPr="00D83854" w:rsidRDefault="002051C0" w:rsidP="002051C0">
      <w:pPr>
        <w:pStyle w:val="Heading3"/>
        <w:rPr>
          <w:color w:val="2F5496" w:themeColor="accent1" w:themeShade="BF"/>
        </w:rPr>
      </w:pPr>
      <w:r w:rsidRPr="00D83854">
        <w:rPr>
          <w:color w:val="2F5496" w:themeColor="accent1" w:themeShade="BF"/>
        </w:rPr>
        <w:lastRenderedPageBreak/>
        <w:t>International collaboration</w:t>
      </w:r>
    </w:p>
    <w:p w14:paraId="04CBA9B4" w14:textId="0BAC7085" w:rsidR="00181B6B" w:rsidRDefault="008E1CA3" w:rsidP="002051C0">
      <w:r>
        <w:t xml:space="preserve">An important </w:t>
      </w:r>
      <w:r w:rsidR="002051C0">
        <w:t xml:space="preserve">component of ANDI’s five-year program with the University is the development of a major international collaboration, focused on </w:t>
      </w:r>
      <w:r w:rsidR="00181B6B">
        <w:t>the question: how should new progress measures be implemented and entrenched in government and international standards?</w:t>
      </w:r>
      <w:r w:rsidR="0026394B">
        <w:rPr>
          <w:rStyle w:val="FootnoteReference"/>
        </w:rPr>
        <w:footnoteReference w:id="19"/>
      </w:r>
    </w:p>
    <w:p w14:paraId="39B07966" w14:textId="1C21B4CE" w:rsidR="00181B6B" w:rsidRDefault="00181B6B" w:rsidP="002051C0">
      <w:r>
        <w:t>Prospective partners</w:t>
      </w:r>
      <w:r w:rsidR="002051C0">
        <w:t xml:space="preserve"> will include: </w:t>
      </w:r>
      <w:r w:rsidR="0026394B">
        <w:t>The</w:t>
      </w:r>
      <w:r w:rsidR="002051C0">
        <w:t xml:space="preserve"> University of Rome</w:t>
      </w:r>
      <w:r>
        <w:t xml:space="preserve"> 2</w:t>
      </w:r>
      <w:r w:rsidR="002051C0">
        <w:t xml:space="preserve"> (a European leader in the development of national progress and sustainability measurement); the University of Water</w:t>
      </w:r>
      <w:r>
        <w:t>loo (which hosts the Canadian Index of Well</w:t>
      </w:r>
      <w:r w:rsidR="002051C0">
        <w:t>being) and the OECD. Other partners currently being sought include</w:t>
      </w:r>
      <w:r>
        <w:t xml:space="preserve"> the government of New Zealand, whose</w:t>
      </w:r>
      <w:r w:rsidR="002051C0">
        <w:t xml:space="preserve"> Prime Minister recently announced her intention to make New Zealand </w:t>
      </w:r>
      <w:r>
        <w:t>a world leader in building wellbeing into budgetary planning</w:t>
      </w:r>
      <w:r w:rsidR="002051C0">
        <w:t xml:space="preserve"> and the government of Wales</w:t>
      </w:r>
      <w:r>
        <w:t>,</w:t>
      </w:r>
      <w:r w:rsidR="002051C0">
        <w:t xml:space="preserve"> which has developed integrated legislation to</w:t>
      </w:r>
      <w:r w:rsidR="0026394B">
        <w:t xml:space="preserve"> entrench </w:t>
      </w:r>
      <w:r w:rsidR="008C3F01">
        <w:t>‘t</w:t>
      </w:r>
      <w:r>
        <w:t>he sustainable well</w:t>
      </w:r>
      <w:r w:rsidR="002051C0">
        <w:t>being of future generatio</w:t>
      </w:r>
      <w:r w:rsidR="0026394B">
        <w:t>ns’</w:t>
      </w:r>
      <w:r w:rsidR="002051C0">
        <w:t xml:space="preserve">. </w:t>
      </w:r>
    </w:p>
    <w:p w14:paraId="06EDEAD8" w14:textId="087DDB7E" w:rsidR="001A5320" w:rsidRDefault="00181B6B" w:rsidP="001A5320">
      <w:r>
        <w:t xml:space="preserve">This </w:t>
      </w:r>
      <w:r w:rsidR="002051C0">
        <w:t xml:space="preserve">collaboration is </w:t>
      </w:r>
      <w:r>
        <w:t>planned</w:t>
      </w:r>
      <w:r w:rsidR="002051C0">
        <w:t xml:space="preserve"> to be la</w:t>
      </w:r>
      <w:r>
        <w:t>unched at the forthcoming OECD World F</w:t>
      </w:r>
      <w:r w:rsidR="002051C0">
        <w:t>orum in November 2018 in South Korea</w:t>
      </w:r>
      <w:r>
        <w:t>. As a follow up, it is proposed that the next OECD World F</w:t>
      </w:r>
      <w:r w:rsidR="002051C0">
        <w:t xml:space="preserve">orum </w:t>
      </w:r>
      <w:r>
        <w:t xml:space="preserve">(in 2020) </w:t>
      </w:r>
      <w:r w:rsidR="002051C0">
        <w:t>should be held in Melbourne, with a focus on the practical implem</w:t>
      </w:r>
      <w:r>
        <w:t xml:space="preserve">entation in government and </w:t>
      </w:r>
      <w:r w:rsidR="002051C0">
        <w:t>bureaucracy of new societal progress</w:t>
      </w:r>
      <w:r>
        <w:t xml:space="preserve"> and wellbeing measures including the SDG’s</w:t>
      </w:r>
      <w:r w:rsidR="002051C0">
        <w:t>.</w:t>
      </w:r>
      <w:r>
        <w:t xml:space="preserve"> </w:t>
      </w:r>
      <w:r w:rsidR="0026394B">
        <w:t>Initial discussions have taken place with the Minister responsible for the OECD, Hon Julie Bishop.</w:t>
      </w:r>
    </w:p>
    <w:p w14:paraId="3C16AB35" w14:textId="793FCF56" w:rsidR="001A5320" w:rsidRDefault="00181B6B" w:rsidP="001A5320">
      <w:r>
        <w:t>T</w:t>
      </w:r>
      <w:r w:rsidR="002051C0">
        <w:t>h</w:t>
      </w:r>
      <w:r>
        <w:t xml:space="preserve">e implementation of the SDG’s </w:t>
      </w:r>
      <w:r w:rsidR="002051C0">
        <w:t xml:space="preserve">is </w:t>
      </w:r>
      <w:r w:rsidR="001A5320">
        <w:t>one</w:t>
      </w:r>
      <w:r w:rsidR="002051C0">
        <w:t xml:space="preserve"> issue currently being c</w:t>
      </w:r>
      <w:r>
        <w:t>onsidered by the Department of Foreign Affairs and T</w:t>
      </w:r>
      <w:r w:rsidR="002051C0">
        <w:t xml:space="preserve">rade </w:t>
      </w:r>
      <w:r w:rsidR="001A5320">
        <w:t>and on which DFAT has sought ANDI’s advice. It is suggested that other divisions of the APS would also benefit from participating in this collaborative project, with its direct focus on the practical use of new progress measures for better and more accountable and responsive government.</w:t>
      </w:r>
    </w:p>
    <w:p w14:paraId="6CF99F8A" w14:textId="26CE3A83" w:rsidR="00181E84" w:rsidRDefault="0026394B" w:rsidP="00C42E87">
      <w:pPr>
        <w:pStyle w:val="Heading2"/>
      </w:pPr>
      <w:r>
        <w:t xml:space="preserve">6.  </w:t>
      </w:r>
      <w:r w:rsidR="002B0002">
        <w:t xml:space="preserve">Conclusion </w:t>
      </w:r>
    </w:p>
    <w:p w14:paraId="119131B5" w14:textId="38FB49D1" w:rsidR="00B30FAD" w:rsidRDefault="00B30FAD" w:rsidP="00181E84">
      <w:r>
        <w:t xml:space="preserve">The principal purpose of this submission was to outline how ANDI could be used to improve the effectiveness and responsiveness of the Australian </w:t>
      </w:r>
      <w:r w:rsidR="009D474A">
        <w:t>P</w:t>
      </w:r>
      <w:r>
        <w:t xml:space="preserve">ublic </w:t>
      </w:r>
      <w:r w:rsidR="009D474A">
        <w:t>S</w:t>
      </w:r>
      <w:r>
        <w:t xml:space="preserve">ervice and the quality of Australian democracy generally.  </w:t>
      </w:r>
    </w:p>
    <w:p w14:paraId="52D23B0A" w14:textId="1F2C63DC" w:rsidR="00B30FAD" w:rsidRDefault="00B30FAD" w:rsidP="00181E84">
      <w:r>
        <w:t>In the process we have highlighted some</w:t>
      </w:r>
      <w:r w:rsidR="009B1E41">
        <w:t xml:space="preserve"> significant challenges and benefits. Some of the challenges relate to processes, such as the need to develop more effective and authentic ways to engage the Australian community. Others relate to information and data, and how they are used </w:t>
      </w:r>
      <w:r>
        <w:t xml:space="preserve">in an era when </w:t>
      </w:r>
      <w:r w:rsidR="009B1E41">
        <w:t>ever-</w:t>
      </w:r>
      <w:r>
        <w:t xml:space="preserve">increasing amounts of data are available and there is greater need </w:t>
      </w:r>
      <w:r w:rsidR="009B1E41">
        <w:t>than ever for this data</w:t>
      </w:r>
      <w:r>
        <w:t xml:space="preserve"> to be used wisely and in the public good</w:t>
      </w:r>
      <w:r w:rsidR="00C658B5">
        <w:t>.</w:t>
      </w:r>
      <w:r w:rsidR="009B1E41">
        <w:rPr>
          <w:rStyle w:val="FootnoteReference"/>
        </w:rPr>
        <w:footnoteReference w:id="20"/>
      </w:r>
      <w:bookmarkStart w:id="0" w:name="_GoBack"/>
      <w:bookmarkEnd w:id="0"/>
    </w:p>
    <w:p w14:paraId="395CBA4B" w14:textId="3216C62C" w:rsidR="0011146F" w:rsidRDefault="00C10C15" w:rsidP="00C658B5">
      <w:r>
        <w:t xml:space="preserve">We </w:t>
      </w:r>
      <w:r w:rsidR="0026394B">
        <w:t>believe</w:t>
      </w:r>
      <w:r w:rsidR="00DA5EC9">
        <w:t xml:space="preserve"> </w:t>
      </w:r>
      <w:r>
        <w:t>that</w:t>
      </w:r>
      <w:r w:rsidR="00C658B5">
        <w:t xml:space="preserve"> </w:t>
      </w:r>
      <w:r w:rsidR="00AF63CA">
        <w:t>the ANDI project when fully developed will align with the Inquiry’s key goals</w:t>
      </w:r>
      <w:r w:rsidR="00B250EF">
        <w:t xml:space="preserve"> in the following respects</w:t>
      </w:r>
      <w:r w:rsidR="00AF63CA">
        <w:t>:</w:t>
      </w:r>
    </w:p>
    <w:p w14:paraId="47221ABC" w14:textId="2B046F36" w:rsidR="0011146F" w:rsidRDefault="00AF63CA" w:rsidP="00220DB9">
      <w:pPr>
        <w:pStyle w:val="ListParagraph"/>
        <w:numPr>
          <w:ilvl w:val="0"/>
          <w:numId w:val="9"/>
        </w:numPr>
        <w:snapToGrid w:val="0"/>
        <w:spacing w:after="120" w:line="240" w:lineRule="auto"/>
        <w:contextualSpacing w:val="0"/>
      </w:pPr>
      <w:r>
        <w:lastRenderedPageBreak/>
        <w:t>as an i</w:t>
      </w:r>
      <w:r w:rsidR="0011146F">
        <w:t>nnovation in public policy and democracy, based on a powerful global movement led by the OECD and well-established best practice in other countries (Canada, Italy, Wales, Scotland etc);</w:t>
      </w:r>
    </w:p>
    <w:p w14:paraId="0268858D" w14:textId="06DE3C42" w:rsidR="0011146F" w:rsidRDefault="00AF63CA" w:rsidP="00220DB9">
      <w:pPr>
        <w:pStyle w:val="ListParagraph"/>
        <w:numPr>
          <w:ilvl w:val="0"/>
          <w:numId w:val="9"/>
        </w:numPr>
        <w:snapToGrid w:val="0"/>
        <w:spacing w:after="120" w:line="240" w:lineRule="auto"/>
        <w:contextualSpacing w:val="0"/>
      </w:pPr>
      <w:r>
        <w:t xml:space="preserve">as a tool </w:t>
      </w:r>
      <w:r w:rsidR="0011146F">
        <w:t>for defining and achieving solutions to complex multisectoral issues in collaboration with community, business and citizens;</w:t>
      </w:r>
    </w:p>
    <w:p w14:paraId="7ED8313C" w14:textId="505DE874" w:rsidR="0011146F" w:rsidRDefault="00AF63CA" w:rsidP="00220DB9">
      <w:pPr>
        <w:pStyle w:val="ListParagraph"/>
        <w:numPr>
          <w:ilvl w:val="0"/>
          <w:numId w:val="9"/>
        </w:numPr>
        <w:snapToGrid w:val="0"/>
        <w:spacing w:after="120" w:line="240" w:lineRule="auto"/>
        <w:contextualSpacing w:val="0"/>
      </w:pPr>
      <w:r>
        <w:t xml:space="preserve">by developing </w:t>
      </w:r>
      <w:r w:rsidR="0011146F">
        <w:t>new digital technology platforms to identify and monitor citizens</w:t>
      </w:r>
      <w:r w:rsidR="008E1CA3">
        <w:t>’</w:t>
      </w:r>
      <w:r w:rsidR="0011146F">
        <w:t xml:space="preserve"> priorities and aspirations and to set and measure the achievement of national goals;</w:t>
      </w:r>
    </w:p>
    <w:p w14:paraId="46E5C1C9" w14:textId="728954D4" w:rsidR="0011146F" w:rsidRDefault="00AF63CA" w:rsidP="00220DB9">
      <w:pPr>
        <w:pStyle w:val="ListParagraph"/>
        <w:numPr>
          <w:ilvl w:val="0"/>
          <w:numId w:val="9"/>
        </w:numPr>
        <w:snapToGrid w:val="0"/>
        <w:spacing w:after="120" w:line="240" w:lineRule="auto"/>
        <w:contextualSpacing w:val="0"/>
      </w:pPr>
      <w:r>
        <w:t xml:space="preserve">as a means </w:t>
      </w:r>
      <w:r w:rsidR="0011146F">
        <w:t xml:space="preserve">to </w:t>
      </w:r>
      <w:r w:rsidR="00E105B9">
        <w:t>improve</w:t>
      </w:r>
      <w:r w:rsidR="0011146F">
        <w:t xml:space="preserve"> transparency, </w:t>
      </w:r>
      <w:r w:rsidR="00E105B9">
        <w:t xml:space="preserve">accountability, </w:t>
      </w:r>
      <w:r>
        <w:t xml:space="preserve">planning and </w:t>
      </w:r>
      <w:r w:rsidR="0011146F">
        <w:t>policy evaluation;</w:t>
      </w:r>
    </w:p>
    <w:p w14:paraId="774817A7" w14:textId="50C6E5DE" w:rsidR="0011146F" w:rsidRDefault="00E105B9" w:rsidP="00220DB9">
      <w:pPr>
        <w:pStyle w:val="ListParagraph"/>
        <w:numPr>
          <w:ilvl w:val="0"/>
          <w:numId w:val="9"/>
        </w:numPr>
        <w:snapToGrid w:val="0"/>
        <w:spacing w:after="120" w:line="240" w:lineRule="auto"/>
        <w:contextualSpacing w:val="0"/>
      </w:pPr>
      <w:r>
        <w:t>as a process to</w:t>
      </w:r>
      <w:r w:rsidR="00AF63CA">
        <w:t xml:space="preserve"> support</w:t>
      </w:r>
      <w:r w:rsidR="0011146F">
        <w:t xml:space="preserve"> collaboration with community, business and other sectors based on clarity of purpose, an agreed evidence base and a shared understanding of goals and progress;</w:t>
      </w:r>
    </w:p>
    <w:p w14:paraId="3FD16F47" w14:textId="77777777" w:rsidR="00AF63CA" w:rsidRDefault="00AF63CA" w:rsidP="009A0823">
      <w:pPr>
        <w:pStyle w:val="ListParagraph"/>
        <w:numPr>
          <w:ilvl w:val="0"/>
          <w:numId w:val="9"/>
        </w:numPr>
        <w:snapToGrid w:val="0"/>
        <w:spacing w:after="240" w:line="240" w:lineRule="auto"/>
        <w:ind w:left="714" w:hanging="357"/>
        <w:contextualSpacing w:val="0"/>
      </w:pPr>
      <w:r>
        <w:t xml:space="preserve">as a vehicle </w:t>
      </w:r>
      <w:r w:rsidR="0011146F">
        <w:t xml:space="preserve">to engage citizens in a meaningful democratic task and substantially improve their experience of, and trust in, government at a time </w:t>
      </w:r>
      <w:r>
        <w:t>of</w:t>
      </w:r>
      <w:r w:rsidR="0011146F">
        <w:t xml:space="preserve"> declining trust in government</w:t>
      </w:r>
      <w:r>
        <w:t>.</w:t>
      </w:r>
      <w:r w:rsidR="0011146F">
        <w:t xml:space="preserve"> </w:t>
      </w:r>
    </w:p>
    <w:p w14:paraId="6987BFE6" w14:textId="2049871F" w:rsidR="00C658B5" w:rsidRDefault="00AF63CA" w:rsidP="00AF63CA">
      <w:pPr>
        <w:snapToGrid w:val="0"/>
        <w:spacing w:after="240" w:line="240" w:lineRule="auto"/>
      </w:pPr>
      <w:r>
        <w:t>W</w:t>
      </w:r>
      <w:r w:rsidR="00DA5EC9">
        <w:t>e would be very pleased to provide any further information, or more detailed submissions, requested by the Inquiry.</w:t>
      </w:r>
    </w:p>
    <w:p w14:paraId="20E3B619" w14:textId="4BF06211" w:rsidR="00181E84" w:rsidRDefault="0026394B" w:rsidP="0026394B">
      <w:pPr>
        <w:pStyle w:val="Heading2"/>
      </w:pPr>
      <w:r>
        <w:t xml:space="preserve">7.  </w:t>
      </w:r>
      <w:r w:rsidR="00C10C15">
        <w:t>Recommendations</w:t>
      </w:r>
    </w:p>
    <w:p w14:paraId="6028A641" w14:textId="55A693EC" w:rsidR="00C10C15" w:rsidRDefault="00181E84" w:rsidP="00AF63CA">
      <w:pPr>
        <w:pStyle w:val="ListParagraph"/>
        <w:numPr>
          <w:ilvl w:val="0"/>
          <w:numId w:val="10"/>
        </w:numPr>
        <w:snapToGrid w:val="0"/>
        <w:spacing w:after="120"/>
        <w:ind w:left="714" w:hanging="357"/>
        <w:contextualSpacing w:val="0"/>
      </w:pPr>
      <w:r>
        <w:t xml:space="preserve">That the APS review panel investigate the methods used by ANDI to develop a set of diagnostic tools to guide effective policy decision making and to engage community voices.  </w:t>
      </w:r>
      <w:r w:rsidR="00C10C15">
        <w:t xml:space="preserve">In particular, the review panel should consider how ANDI could help the APS </w:t>
      </w:r>
      <w:r w:rsidR="00AF63CA">
        <w:t xml:space="preserve">in the areas of alignment suggested above. </w:t>
      </w:r>
    </w:p>
    <w:p w14:paraId="1458BEF2" w14:textId="7A740903" w:rsidR="00DA5EC9" w:rsidRDefault="00DA5EC9" w:rsidP="00DA5EC9">
      <w:pPr>
        <w:pStyle w:val="ListParagraph"/>
        <w:numPr>
          <w:ilvl w:val="0"/>
          <w:numId w:val="10"/>
        </w:numPr>
        <w:snapToGrid w:val="0"/>
        <w:ind w:left="714" w:hanging="357"/>
        <w:contextualSpacing w:val="0"/>
      </w:pPr>
      <w:r>
        <w:t xml:space="preserve">That the </w:t>
      </w:r>
      <w:r w:rsidR="00181E84">
        <w:t xml:space="preserve">panel </w:t>
      </w:r>
      <w:r>
        <w:t>consider</w:t>
      </w:r>
      <w:r w:rsidR="00181E84">
        <w:t xml:space="preserve"> whether a partnership with</w:t>
      </w:r>
      <w:r w:rsidR="008E1CA3">
        <w:t>,</w:t>
      </w:r>
      <w:r w:rsidR="00181E84">
        <w:t xml:space="preserve"> </w:t>
      </w:r>
      <w:r>
        <w:t>or support of</w:t>
      </w:r>
      <w:r w:rsidR="008E1CA3">
        <w:t>,</w:t>
      </w:r>
      <w:r>
        <w:t xml:space="preserve"> the </w:t>
      </w:r>
      <w:r w:rsidR="00181E84">
        <w:t xml:space="preserve">ANDI </w:t>
      </w:r>
      <w:r>
        <w:t xml:space="preserve">project and its networks of expertise in research, policy and practice </w:t>
      </w:r>
      <w:r w:rsidR="00181E84">
        <w:t>could help to meet the aims of public sector reform as outline</w:t>
      </w:r>
      <w:r w:rsidR="00C10C15">
        <w:t>d in the Scope of the Review</w:t>
      </w:r>
      <w:r>
        <w:t xml:space="preserve"> and the capacity of the APS to ‘</w:t>
      </w:r>
      <w:r w:rsidR="00181E84">
        <w:t>acquire and maintain the necessary skills and expertise</w:t>
      </w:r>
      <w:r>
        <w:t xml:space="preserve"> to fulfil its responsibilities’</w:t>
      </w:r>
      <w:r w:rsidR="00181E84">
        <w:t>.</w:t>
      </w:r>
    </w:p>
    <w:p w14:paraId="00F50213" w14:textId="508AB991" w:rsidR="00894C95" w:rsidRDefault="00DA5EC9" w:rsidP="00DA5EC9">
      <w:pPr>
        <w:pStyle w:val="ListParagraph"/>
        <w:numPr>
          <w:ilvl w:val="0"/>
          <w:numId w:val="10"/>
        </w:numPr>
        <w:snapToGrid w:val="0"/>
        <w:ind w:left="714" w:hanging="357"/>
        <w:contextualSpacing w:val="0"/>
      </w:pPr>
      <w:r w:rsidRPr="00DA5EC9">
        <w:t xml:space="preserve">That the panel investigate </w:t>
      </w:r>
      <w:r>
        <w:t xml:space="preserve">the benefits of government sponsorship of the OECD World Forum in Melbourne in 2020 </w:t>
      </w:r>
      <w:r w:rsidRPr="00DA5EC9">
        <w:t xml:space="preserve">with </w:t>
      </w:r>
      <w:r>
        <w:t xml:space="preserve">the </w:t>
      </w:r>
      <w:r w:rsidRPr="00DA5EC9">
        <w:t>key theme</w:t>
      </w:r>
      <w:r>
        <w:t>s indicated above.</w:t>
      </w:r>
    </w:p>
    <w:p w14:paraId="17CC7D49" w14:textId="408710EA" w:rsidR="00F51C6D" w:rsidRDefault="00F51C6D" w:rsidP="00DA5EC9">
      <w:pPr>
        <w:pStyle w:val="ListParagraph"/>
        <w:numPr>
          <w:ilvl w:val="0"/>
          <w:numId w:val="10"/>
        </w:numPr>
        <w:snapToGrid w:val="0"/>
        <w:ind w:left="714" w:hanging="357"/>
        <w:contextualSpacing w:val="0"/>
      </w:pPr>
      <w:r>
        <w:t xml:space="preserve">That the panel investigate and support the Indigenous Data Sovereignty Movement as a nationally significant example of community engagement and autonomy in </w:t>
      </w:r>
      <w:r w:rsidR="00B77C87">
        <w:t>data use and progress measurement.</w:t>
      </w:r>
      <w:r>
        <w:t xml:space="preserve"> </w:t>
      </w:r>
    </w:p>
    <w:p w14:paraId="4670A6E7" w14:textId="77777777" w:rsidR="008E1CA3" w:rsidRDefault="008E1CA3" w:rsidP="00C2108A">
      <w:pPr>
        <w:pStyle w:val="Heading2"/>
      </w:pPr>
    </w:p>
    <w:p w14:paraId="594EFDF1" w14:textId="77777777" w:rsidR="008E1CA3" w:rsidRDefault="008E1CA3" w:rsidP="00C2108A">
      <w:pPr>
        <w:pStyle w:val="Heading2"/>
      </w:pPr>
    </w:p>
    <w:p w14:paraId="5C639480" w14:textId="6ABFC0A9" w:rsidR="00371938" w:rsidRDefault="0026394B" w:rsidP="00C2108A">
      <w:pPr>
        <w:pStyle w:val="Heading2"/>
      </w:pPr>
      <w:r>
        <w:t xml:space="preserve">8.  </w:t>
      </w:r>
      <w:r w:rsidR="00C2108A">
        <w:t>References</w:t>
      </w:r>
    </w:p>
    <w:p w14:paraId="17084ACA" w14:textId="23904461" w:rsidR="0046711B" w:rsidRPr="00220DB9" w:rsidRDefault="0046711B" w:rsidP="0026394B">
      <w:pPr>
        <w:pStyle w:val="FootnoteText"/>
        <w:snapToGrid w:val="0"/>
        <w:spacing w:after="120"/>
        <w:ind w:left="454" w:hanging="454"/>
        <w:rPr>
          <w:sz w:val="22"/>
          <w:szCs w:val="22"/>
        </w:rPr>
      </w:pPr>
      <w:r w:rsidRPr="00220DB9">
        <w:rPr>
          <w:sz w:val="22"/>
          <w:szCs w:val="22"/>
        </w:rPr>
        <w:t>Coyle</w:t>
      </w:r>
      <w:r w:rsidR="004E7C9E" w:rsidRPr="00220DB9">
        <w:rPr>
          <w:sz w:val="22"/>
          <w:szCs w:val="22"/>
        </w:rPr>
        <w:t xml:space="preserve">, D. </w:t>
      </w:r>
      <w:r w:rsidR="0011146F" w:rsidRPr="00220DB9">
        <w:rPr>
          <w:sz w:val="22"/>
          <w:szCs w:val="22"/>
        </w:rPr>
        <w:t>(2014)</w:t>
      </w:r>
      <w:r w:rsidR="004E7C9E" w:rsidRPr="00220DB9">
        <w:rPr>
          <w:sz w:val="22"/>
          <w:szCs w:val="22"/>
        </w:rPr>
        <w:t xml:space="preserve"> </w:t>
      </w:r>
      <w:r w:rsidR="004E7C9E" w:rsidRPr="00220DB9">
        <w:rPr>
          <w:i/>
          <w:sz w:val="22"/>
          <w:szCs w:val="22"/>
        </w:rPr>
        <w:t>GDP: a brief but affectionate history</w:t>
      </w:r>
      <w:r w:rsidR="004E7C9E" w:rsidRPr="00220DB9">
        <w:rPr>
          <w:sz w:val="22"/>
          <w:szCs w:val="22"/>
        </w:rPr>
        <w:t>. (Oxford: Princeton University Press)</w:t>
      </w:r>
    </w:p>
    <w:p w14:paraId="4D7A66C4" w14:textId="1F46F579" w:rsidR="0046711B" w:rsidRPr="00220DB9" w:rsidRDefault="0046711B" w:rsidP="0026394B">
      <w:pPr>
        <w:snapToGrid w:val="0"/>
        <w:spacing w:after="120" w:line="240" w:lineRule="auto"/>
        <w:ind w:left="454" w:hanging="454"/>
        <w:rPr>
          <w:rFonts w:eastAsia="Times New Roman" w:cstheme="minorHAnsi"/>
          <w:color w:val="4472C4" w:themeColor="accent1"/>
        </w:rPr>
      </w:pPr>
      <w:r w:rsidRPr="00220DB9">
        <w:rPr>
          <w:rFonts w:cstheme="minorHAnsi"/>
        </w:rPr>
        <w:t>Credit Suisse</w:t>
      </w:r>
      <w:r w:rsidR="003D6185" w:rsidRPr="00220DB9">
        <w:rPr>
          <w:rFonts w:cstheme="minorHAnsi"/>
        </w:rPr>
        <w:t xml:space="preserve"> Research Institute</w:t>
      </w:r>
      <w:r w:rsidR="0011146F" w:rsidRPr="00220DB9">
        <w:rPr>
          <w:rFonts w:cstheme="minorHAnsi"/>
        </w:rPr>
        <w:t xml:space="preserve"> (2018)</w:t>
      </w:r>
      <w:r w:rsidR="003D6185" w:rsidRPr="00220DB9">
        <w:rPr>
          <w:rFonts w:cstheme="minorHAnsi"/>
        </w:rPr>
        <w:t xml:space="preserve"> ‘Should we still care about GDP?’. </w:t>
      </w:r>
      <w:r w:rsidR="003D6185" w:rsidRPr="00220DB9">
        <w:rPr>
          <w:rFonts w:eastAsia="Times New Roman" w:cstheme="minorHAnsi"/>
          <w:color w:val="4472C4" w:themeColor="accent1"/>
          <w:shd w:val="clear" w:color="auto" w:fill="FFFFFF"/>
        </w:rPr>
        <w:t>https://www.credit-suisse.com/articles/news-and.../should-we-still-care-about-gdp.html</w:t>
      </w:r>
    </w:p>
    <w:p w14:paraId="23952E0A" w14:textId="712D2BBD" w:rsidR="0046711B" w:rsidRPr="00220DB9" w:rsidRDefault="0046711B" w:rsidP="0046711B">
      <w:pPr>
        <w:pStyle w:val="FootnoteText"/>
        <w:spacing w:after="120"/>
        <w:ind w:left="454" w:hanging="454"/>
        <w:rPr>
          <w:sz w:val="22"/>
          <w:szCs w:val="22"/>
        </w:rPr>
      </w:pPr>
      <w:r w:rsidRPr="00220DB9">
        <w:rPr>
          <w:sz w:val="22"/>
          <w:szCs w:val="22"/>
        </w:rPr>
        <w:t>Mazzucato</w:t>
      </w:r>
      <w:r w:rsidR="004E7C9E" w:rsidRPr="00220DB9">
        <w:rPr>
          <w:sz w:val="22"/>
          <w:szCs w:val="22"/>
        </w:rPr>
        <w:t xml:space="preserve">, M. </w:t>
      </w:r>
      <w:r w:rsidR="0011146F" w:rsidRPr="00220DB9">
        <w:rPr>
          <w:sz w:val="22"/>
          <w:szCs w:val="22"/>
        </w:rPr>
        <w:t>(2018)</w:t>
      </w:r>
      <w:r w:rsidR="004E7C9E" w:rsidRPr="00220DB9">
        <w:rPr>
          <w:sz w:val="22"/>
          <w:szCs w:val="22"/>
        </w:rPr>
        <w:t xml:space="preserve"> </w:t>
      </w:r>
      <w:r w:rsidR="004E7C9E" w:rsidRPr="00220DB9">
        <w:rPr>
          <w:i/>
          <w:sz w:val="22"/>
          <w:szCs w:val="22"/>
        </w:rPr>
        <w:t>The value of everything: making and taking in the global economy</w:t>
      </w:r>
      <w:r w:rsidR="004E7C9E" w:rsidRPr="00220DB9">
        <w:rPr>
          <w:sz w:val="22"/>
          <w:szCs w:val="22"/>
        </w:rPr>
        <w:t>. (London: Allen Lane-Penguin)</w:t>
      </w:r>
    </w:p>
    <w:p w14:paraId="30E38CFA" w14:textId="797BAC47" w:rsidR="0046711B" w:rsidRPr="00220DB9" w:rsidRDefault="0046711B" w:rsidP="0046711B">
      <w:pPr>
        <w:pStyle w:val="FootnoteText"/>
        <w:spacing w:after="120"/>
        <w:ind w:left="454" w:hanging="454"/>
        <w:rPr>
          <w:sz w:val="22"/>
          <w:szCs w:val="22"/>
        </w:rPr>
      </w:pPr>
      <w:r w:rsidRPr="00220DB9">
        <w:rPr>
          <w:sz w:val="22"/>
          <w:szCs w:val="22"/>
        </w:rPr>
        <w:t>Pilling</w:t>
      </w:r>
      <w:r w:rsidR="003D6185" w:rsidRPr="00220DB9">
        <w:rPr>
          <w:sz w:val="22"/>
          <w:szCs w:val="22"/>
        </w:rPr>
        <w:t xml:space="preserve">, D. </w:t>
      </w:r>
      <w:r w:rsidR="0011146F" w:rsidRPr="00220DB9">
        <w:rPr>
          <w:sz w:val="22"/>
          <w:szCs w:val="22"/>
        </w:rPr>
        <w:t>(2017)</w:t>
      </w:r>
      <w:r w:rsidR="003D6185" w:rsidRPr="00220DB9">
        <w:rPr>
          <w:sz w:val="22"/>
          <w:szCs w:val="22"/>
        </w:rPr>
        <w:t xml:space="preserve"> </w:t>
      </w:r>
      <w:r w:rsidR="003D6185" w:rsidRPr="00220DB9">
        <w:rPr>
          <w:i/>
          <w:sz w:val="22"/>
          <w:szCs w:val="22"/>
        </w:rPr>
        <w:t>The Growth Delusion: Wealth, poverty and the wellbeing of nations</w:t>
      </w:r>
      <w:r w:rsidR="003D6185" w:rsidRPr="00220DB9">
        <w:rPr>
          <w:sz w:val="22"/>
          <w:szCs w:val="22"/>
        </w:rPr>
        <w:t>. London: Bloomsbury</w:t>
      </w:r>
    </w:p>
    <w:p w14:paraId="35A99AA5" w14:textId="25351AA2" w:rsidR="00C2108A" w:rsidRPr="00220DB9" w:rsidRDefault="00C2108A" w:rsidP="0046711B">
      <w:pPr>
        <w:pStyle w:val="FootnoteText"/>
        <w:spacing w:after="120"/>
        <w:ind w:left="454" w:hanging="454"/>
        <w:rPr>
          <w:sz w:val="22"/>
          <w:szCs w:val="22"/>
          <w:lang w:val="en-US"/>
        </w:rPr>
      </w:pPr>
      <w:r w:rsidRPr="00220DB9">
        <w:rPr>
          <w:sz w:val="22"/>
          <w:szCs w:val="22"/>
        </w:rPr>
        <w:t xml:space="preserve">Salvaris, M. </w:t>
      </w:r>
      <w:r w:rsidR="0011146F" w:rsidRPr="00220DB9">
        <w:rPr>
          <w:sz w:val="22"/>
          <w:szCs w:val="22"/>
        </w:rPr>
        <w:t>(2013)</w:t>
      </w:r>
      <w:r w:rsidRPr="00220DB9">
        <w:rPr>
          <w:sz w:val="22"/>
          <w:szCs w:val="22"/>
        </w:rPr>
        <w:t xml:space="preserve"> ‘</w:t>
      </w:r>
      <w:r w:rsidRPr="00220DB9">
        <w:rPr>
          <w:sz w:val="22"/>
          <w:szCs w:val="22"/>
          <w:lang w:val="en-US"/>
        </w:rPr>
        <w:t xml:space="preserve">Measuring the </w:t>
      </w:r>
      <w:r w:rsidR="0046711B" w:rsidRPr="00220DB9">
        <w:rPr>
          <w:sz w:val="22"/>
          <w:szCs w:val="22"/>
          <w:lang w:val="en-US"/>
        </w:rPr>
        <w:t>k</w:t>
      </w:r>
      <w:r w:rsidRPr="00220DB9">
        <w:rPr>
          <w:sz w:val="22"/>
          <w:szCs w:val="22"/>
          <w:lang w:val="en-US"/>
        </w:rPr>
        <w:t xml:space="preserve">ind of Australia </w:t>
      </w:r>
      <w:r w:rsidR="0046711B" w:rsidRPr="00220DB9">
        <w:rPr>
          <w:sz w:val="22"/>
          <w:szCs w:val="22"/>
          <w:lang w:val="en-US"/>
        </w:rPr>
        <w:t>w</w:t>
      </w:r>
      <w:r w:rsidRPr="00220DB9">
        <w:rPr>
          <w:sz w:val="22"/>
          <w:szCs w:val="22"/>
          <w:lang w:val="en-US"/>
        </w:rPr>
        <w:t xml:space="preserve">e </w:t>
      </w:r>
      <w:r w:rsidR="0046711B" w:rsidRPr="00220DB9">
        <w:rPr>
          <w:sz w:val="22"/>
          <w:szCs w:val="22"/>
          <w:lang w:val="en-US"/>
        </w:rPr>
        <w:t>w</w:t>
      </w:r>
      <w:r w:rsidRPr="00220DB9">
        <w:rPr>
          <w:sz w:val="22"/>
          <w:szCs w:val="22"/>
          <w:lang w:val="en-US"/>
        </w:rPr>
        <w:t xml:space="preserve">ant: ANDI, the GDP and the </w:t>
      </w:r>
      <w:r w:rsidR="0046711B" w:rsidRPr="00220DB9">
        <w:rPr>
          <w:sz w:val="22"/>
          <w:szCs w:val="22"/>
          <w:lang w:val="en-US"/>
        </w:rPr>
        <w:t>g</w:t>
      </w:r>
      <w:r w:rsidRPr="00220DB9">
        <w:rPr>
          <w:sz w:val="22"/>
          <w:szCs w:val="22"/>
          <w:lang w:val="en-US"/>
        </w:rPr>
        <w:t xml:space="preserve">lobal </w:t>
      </w:r>
      <w:r w:rsidR="0046711B" w:rsidRPr="00220DB9">
        <w:rPr>
          <w:sz w:val="22"/>
          <w:szCs w:val="22"/>
          <w:lang w:val="en-US"/>
        </w:rPr>
        <w:t>m</w:t>
      </w:r>
      <w:r w:rsidRPr="00220DB9">
        <w:rPr>
          <w:sz w:val="22"/>
          <w:szCs w:val="22"/>
          <w:lang w:val="en-US"/>
        </w:rPr>
        <w:t xml:space="preserve">ovement to </w:t>
      </w:r>
      <w:r w:rsidR="0046711B" w:rsidRPr="00220DB9">
        <w:rPr>
          <w:sz w:val="22"/>
          <w:szCs w:val="22"/>
          <w:lang w:val="en-US"/>
        </w:rPr>
        <w:t>r</w:t>
      </w:r>
      <w:r w:rsidRPr="00220DB9">
        <w:rPr>
          <w:sz w:val="22"/>
          <w:szCs w:val="22"/>
          <w:lang w:val="en-US"/>
        </w:rPr>
        <w:t xml:space="preserve">edefine </w:t>
      </w:r>
      <w:r w:rsidR="0046711B" w:rsidRPr="00220DB9">
        <w:rPr>
          <w:sz w:val="22"/>
          <w:szCs w:val="22"/>
          <w:lang w:val="en-US"/>
        </w:rPr>
        <w:t>p</w:t>
      </w:r>
      <w:r w:rsidRPr="00220DB9">
        <w:rPr>
          <w:sz w:val="22"/>
          <w:szCs w:val="22"/>
          <w:lang w:val="en-US"/>
        </w:rPr>
        <w:t xml:space="preserve">rogress’. </w:t>
      </w:r>
      <w:r w:rsidRPr="00220DB9">
        <w:rPr>
          <w:rFonts w:cstheme="minorHAnsi"/>
          <w:i/>
          <w:sz w:val="22"/>
          <w:szCs w:val="22"/>
          <w:lang w:val="en-US"/>
        </w:rPr>
        <w:t>Australian Economic Review</w:t>
      </w:r>
      <w:r w:rsidRPr="00220DB9">
        <w:rPr>
          <w:rFonts w:cstheme="minorHAnsi"/>
          <w:sz w:val="22"/>
          <w:szCs w:val="22"/>
          <w:lang w:val="en-US"/>
        </w:rPr>
        <w:t>, March 2013 v 46 no 1.</w:t>
      </w:r>
      <w:r w:rsidRPr="00220DB9">
        <w:rPr>
          <w:sz w:val="22"/>
          <w:szCs w:val="22"/>
          <w:lang w:val="en-US"/>
        </w:rPr>
        <w:t xml:space="preserve"> </w:t>
      </w:r>
    </w:p>
    <w:p w14:paraId="1F8E3066" w14:textId="23F554D7" w:rsidR="0046711B" w:rsidRPr="00220DB9" w:rsidRDefault="0046711B" w:rsidP="00C2108A">
      <w:pPr>
        <w:pStyle w:val="FootnoteText"/>
        <w:rPr>
          <w:sz w:val="22"/>
          <w:szCs w:val="22"/>
          <w:lang w:val="en-US"/>
        </w:rPr>
      </w:pPr>
      <w:r w:rsidRPr="00220DB9">
        <w:rPr>
          <w:sz w:val="22"/>
          <w:szCs w:val="22"/>
          <w:lang w:val="en-US"/>
        </w:rPr>
        <w:t>Stiglitz</w:t>
      </w:r>
      <w:r w:rsidR="003D6185" w:rsidRPr="00220DB9">
        <w:rPr>
          <w:sz w:val="22"/>
          <w:szCs w:val="22"/>
          <w:lang w:val="en-US"/>
        </w:rPr>
        <w:t xml:space="preserve">, J., Sen, A, and Fitoussi, J-P. </w:t>
      </w:r>
      <w:r w:rsidR="0011146F" w:rsidRPr="00220DB9">
        <w:rPr>
          <w:sz w:val="22"/>
          <w:szCs w:val="22"/>
          <w:lang w:val="en-US"/>
        </w:rPr>
        <w:t xml:space="preserve">(2008) </w:t>
      </w:r>
      <w:r w:rsidR="003D6185" w:rsidRPr="00220DB9">
        <w:rPr>
          <w:i/>
          <w:sz w:val="22"/>
          <w:szCs w:val="22"/>
          <w:lang w:val="en-US"/>
        </w:rPr>
        <w:t>Report of the</w:t>
      </w:r>
      <w:r w:rsidR="003D6185" w:rsidRPr="00220DB9">
        <w:rPr>
          <w:sz w:val="22"/>
          <w:szCs w:val="22"/>
          <w:lang w:val="en-US"/>
        </w:rPr>
        <w:t xml:space="preserve"> </w:t>
      </w:r>
      <w:r w:rsidR="003D6185" w:rsidRPr="00220DB9">
        <w:rPr>
          <w:i/>
          <w:sz w:val="22"/>
          <w:szCs w:val="22"/>
          <w:lang w:val="en-US"/>
        </w:rPr>
        <w:t>Commission on the Measurement of Economic Performance and Social Progress</w:t>
      </w:r>
      <w:r w:rsidR="003D6185" w:rsidRPr="00220DB9">
        <w:rPr>
          <w:sz w:val="22"/>
          <w:szCs w:val="22"/>
          <w:lang w:val="en-US"/>
        </w:rPr>
        <w:t xml:space="preserve"> (Paris.</w:t>
      </w:r>
      <w:r w:rsidRPr="00220DB9">
        <w:rPr>
          <w:sz w:val="22"/>
          <w:szCs w:val="22"/>
          <w:lang w:val="en-US"/>
        </w:rPr>
        <w:t xml:space="preserve"> </w:t>
      </w:r>
    </w:p>
    <w:p w14:paraId="7E172E99" w14:textId="77777777" w:rsidR="00220DB9" w:rsidRDefault="00220DB9">
      <w:pPr>
        <w:rPr>
          <w:rFonts w:eastAsiaTheme="majorEastAsia" w:cstheme="majorBidi"/>
          <w:b/>
          <w:color w:val="2F5496" w:themeColor="accent1" w:themeShade="BF"/>
          <w:sz w:val="26"/>
          <w:szCs w:val="26"/>
          <w:lang w:val="en-GB"/>
        </w:rPr>
      </w:pPr>
      <w:r>
        <w:lastRenderedPageBreak/>
        <w:br w:type="page"/>
      </w:r>
    </w:p>
    <w:p w14:paraId="4CA9CB91" w14:textId="5FCAB1E3" w:rsidR="001A5320" w:rsidRDefault="001A5320" w:rsidP="001A5320">
      <w:pPr>
        <w:pStyle w:val="Heading2"/>
        <w:pBdr>
          <w:bottom w:val="single" w:sz="4" w:space="1" w:color="auto"/>
        </w:pBdr>
      </w:pPr>
      <w:r>
        <w:t>Appendices</w:t>
      </w:r>
    </w:p>
    <w:p w14:paraId="479909F6" w14:textId="77777777" w:rsidR="0026394B" w:rsidRDefault="0026394B" w:rsidP="002F4737">
      <w:pPr>
        <w:spacing w:line="240" w:lineRule="auto"/>
        <w:rPr>
          <w:i/>
          <w:color w:val="2F5496" w:themeColor="accent1" w:themeShade="BF"/>
          <w:sz w:val="24"/>
          <w:szCs w:val="24"/>
        </w:rPr>
      </w:pPr>
    </w:p>
    <w:p w14:paraId="30B65EE9" w14:textId="39428299" w:rsidR="00371938" w:rsidRPr="00D83854" w:rsidRDefault="003D6185" w:rsidP="00D83854">
      <w:pPr>
        <w:spacing w:line="240" w:lineRule="auto"/>
        <w:jc w:val="center"/>
        <w:rPr>
          <w:b/>
          <w:color w:val="2F5496" w:themeColor="accent1" w:themeShade="BF"/>
        </w:rPr>
      </w:pPr>
      <w:r w:rsidRPr="00D83854">
        <w:rPr>
          <w:i/>
          <w:color w:val="2F5496" w:themeColor="accent1" w:themeShade="BF"/>
        </w:rPr>
        <w:t>Appendix A:</w:t>
      </w:r>
      <w:r w:rsidRPr="00D83854">
        <w:rPr>
          <w:b/>
          <w:color w:val="2F5496" w:themeColor="accent1" w:themeShade="BF"/>
        </w:rPr>
        <w:t xml:space="preserve"> </w:t>
      </w:r>
      <w:r w:rsidR="00371938" w:rsidRPr="00D83854">
        <w:rPr>
          <w:b/>
          <w:color w:val="2F5496" w:themeColor="accent1" w:themeShade="BF"/>
        </w:rPr>
        <w:t>More than customers: Citizens as partne</w:t>
      </w:r>
      <w:r w:rsidR="00160448" w:rsidRPr="00D83854">
        <w:rPr>
          <w:b/>
          <w:color w:val="2F5496" w:themeColor="accent1" w:themeShade="BF"/>
        </w:rPr>
        <w:t>rs in achieving public outcomes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4050"/>
        <w:gridCol w:w="2880"/>
      </w:tblGrid>
      <w:tr w:rsidR="00371938" w:rsidRPr="00160448" w14:paraId="67F9EA45" w14:textId="77777777" w:rsidTr="00371938">
        <w:tc>
          <w:tcPr>
            <w:tcW w:w="2425" w:type="dxa"/>
          </w:tcPr>
          <w:p w14:paraId="5F63D0B5" w14:textId="77777777" w:rsidR="00371938" w:rsidRPr="00160448" w:rsidRDefault="00371938" w:rsidP="00A20B59">
            <w:pPr>
              <w:pStyle w:val="Listbullet1"/>
              <w:numPr>
                <w:ilvl w:val="0"/>
                <w:numId w:val="0"/>
              </w:numPr>
              <w:spacing w:before="120" w:after="120" w:line="240" w:lineRule="auto"/>
              <w:jc w:val="center"/>
              <w:rPr>
                <w:rFonts w:asciiTheme="minorHAnsi" w:hAnsiTheme="minorHAnsi" w:cstheme="minorHAnsi"/>
                <w:b/>
                <w:sz w:val="18"/>
                <w:szCs w:val="18"/>
              </w:rPr>
            </w:pPr>
            <w:r w:rsidRPr="00160448">
              <w:rPr>
                <w:rFonts w:asciiTheme="minorHAnsi" w:hAnsiTheme="minorHAnsi" w:cstheme="minorHAnsi"/>
                <w:b/>
                <w:sz w:val="18"/>
                <w:szCs w:val="18"/>
              </w:rPr>
              <w:t>Citizens are …</w:t>
            </w:r>
          </w:p>
        </w:tc>
        <w:tc>
          <w:tcPr>
            <w:tcW w:w="4050" w:type="dxa"/>
          </w:tcPr>
          <w:p w14:paraId="134A9536" w14:textId="77777777" w:rsidR="00371938" w:rsidRPr="00160448" w:rsidRDefault="00371938" w:rsidP="00A20B59">
            <w:pPr>
              <w:pStyle w:val="Listbullet1"/>
              <w:numPr>
                <w:ilvl w:val="0"/>
                <w:numId w:val="0"/>
              </w:numPr>
              <w:spacing w:before="120" w:after="120" w:line="240" w:lineRule="auto"/>
              <w:ind w:left="113" w:hanging="113"/>
              <w:jc w:val="center"/>
              <w:rPr>
                <w:rFonts w:asciiTheme="minorHAnsi" w:hAnsiTheme="minorHAnsi" w:cstheme="minorHAnsi"/>
                <w:b/>
                <w:sz w:val="18"/>
                <w:szCs w:val="18"/>
              </w:rPr>
            </w:pPr>
            <w:r w:rsidRPr="00160448">
              <w:rPr>
                <w:rFonts w:asciiTheme="minorHAnsi" w:hAnsiTheme="minorHAnsi" w:cstheme="minorHAnsi"/>
                <w:b/>
                <w:sz w:val="18"/>
                <w:szCs w:val="18"/>
              </w:rPr>
              <w:t>How?</w:t>
            </w:r>
          </w:p>
        </w:tc>
        <w:tc>
          <w:tcPr>
            <w:tcW w:w="2880" w:type="dxa"/>
          </w:tcPr>
          <w:p w14:paraId="2F4AE9D9" w14:textId="77777777" w:rsidR="00371938" w:rsidRPr="00160448" w:rsidRDefault="00371938" w:rsidP="00A20B59">
            <w:pPr>
              <w:pStyle w:val="Listbullet1"/>
              <w:numPr>
                <w:ilvl w:val="0"/>
                <w:numId w:val="0"/>
              </w:numPr>
              <w:spacing w:before="120" w:after="120" w:line="240" w:lineRule="auto"/>
              <w:ind w:left="113" w:right="72" w:hanging="113"/>
              <w:jc w:val="center"/>
              <w:rPr>
                <w:rFonts w:asciiTheme="minorHAnsi" w:hAnsiTheme="minorHAnsi" w:cstheme="minorHAnsi"/>
                <w:b/>
                <w:sz w:val="18"/>
                <w:szCs w:val="18"/>
              </w:rPr>
            </w:pPr>
            <w:r w:rsidRPr="00160448">
              <w:rPr>
                <w:rFonts w:asciiTheme="minorHAnsi" w:hAnsiTheme="minorHAnsi" w:cstheme="minorHAnsi"/>
                <w:b/>
                <w:sz w:val="18"/>
                <w:szCs w:val="18"/>
              </w:rPr>
              <w:t>Examples</w:t>
            </w:r>
          </w:p>
        </w:tc>
      </w:tr>
      <w:tr w:rsidR="00371938" w:rsidRPr="00160448" w14:paraId="3F740FC6" w14:textId="77777777" w:rsidTr="00371938">
        <w:tc>
          <w:tcPr>
            <w:tcW w:w="2425" w:type="dxa"/>
          </w:tcPr>
          <w:p w14:paraId="799D3AFF"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Customers</w:t>
            </w:r>
          </w:p>
        </w:tc>
        <w:tc>
          <w:tcPr>
            <w:tcW w:w="4050" w:type="dxa"/>
          </w:tcPr>
          <w:p w14:paraId="1FED31FD"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 xml:space="preserve">Citizens are principal users and clients of public services and should be treated as valued customers by providers </w:t>
            </w:r>
          </w:p>
        </w:tc>
        <w:tc>
          <w:tcPr>
            <w:tcW w:w="2880" w:type="dxa"/>
          </w:tcPr>
          <w:p w14:paraId="69A3795F" w14:textId="77777777" w:rsidR="00371938" w:rsidRPr="00160448" w:rsidRDefault="00371938" w:rsidP="00A20B59">
            <w:pPr>
              <w:pStyle w:val="Listbullet1"/>
              <w:numPr>
                <w:ilvl w:val="0"/>
                <w:numId w:val="0"/>
              </w:numPr>
              <w:spacing w:before="60" w:after="60" w:line="240" w:lineRule="auto"/>
              <w:ind w:left="33" w:right="72" w:hanging="33"/>
              <w:rPr>
                <w:rFonts w:asciiTheme="minorHAnsi" w:hAnsiTheme="minorHAnsi" w:cstheme="minorHAnsi"/>
                <w:sz w:val="18"/>
                <w:szCs w:val="18"/>
              </w:rPr>
            </w:pPr>
            <w:r w:rsidRPr="00160448">
              <w:rPr>
                <w:rFonts w:asciiTheme="minorHAnsi" w:hAnsiTheme="minorHAnsi" w:cstheme="minorHAnsi"/>
                <w:sz w:val="18"/>
                <w:szCs w:val="18"/>
              </w:rPr>
              <w:t>Citizens’ charters for service standards (UK)</w:t>
            </w:r>
          </w:p>
        </w:tc>
      </w:tr>
      <w:tr w:rsidR="00371938" w:rsidRPr="00160448" w14:paraId="2DF46C05" w14:textId="77777777" w:rsidTr="00371938">
        <w:tc>
          <w:tcPr>
            <w:tcW w:w="2425" w:type="dxa"/>
          </w:tcPr>
          <w:p w14:paraId="628DE5BC"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Owners and shareholders</w:t>
            </w:r>
          </w:p>
        </w:tc>
        <w:tc>
          <w:tcPr>
            <w:tcW w:w="4050" w:type="dxa"/>
          </w:tcPr>
          <w:p w14:paraId="78B35015"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Citizens are owners: through their taxes, they invest in public service and assets.  They are shareholders too: through their votes, they elect the ‘boards of directors’ who govern</w:t>
            </w:r>
          </w:p>
        </w:tc>
        <w:tc>
          <w:tcPr>
            <w:tcW w:w="2880" w:type="dxa"/>
          </w:tcPr>
          <w:p w14:paraId="12144053" w14:textId="77777777" w:rsidR="00371938" w:rsidRPr="00160448" w:rsidRDefault="00371938" w:rsidP="00A20B59">
            <w:pPr>
              <w:pStyle w:val="Listbullet1"/>
              <w:numPr>
                <w:ilvl w:val="0"/>
                <w:numId w:val="0"/>
              </w:numPr>
              <w:spacing w:before="60" w:after="60" w:line="240" w:lineRule="auto"/>
              <w:ind w:left="33" w:right="72" w:hanging="33"/>
              <w:rPr>
                <w:rFonts w:asciiTheme="minorHAnsi" w:hAnsiTheme="minorHAnsi" w:cstheme="minorHAnsi"/>
                <w:sz w:val="18"/>
                <w:szCs w:val="18"/>
              </w:rPr>
            </w:pPr>
            <w:r w:rsidRPr="00160448">
              <w:rPr>
                <w:rFonts w:asciiTheme="minorHAnsi" w:hAnsiTheme="minorHAnsi" w:cstheme="minorHAnsi"/>
                <w:sz w:val="18"/>
                <w:szCs w:val="18"/>
              </w:rPr>
              <w:t xml:space="preserve">Community reps on public services and utilities boards. </w:t>
            </w:r>
            <w:r w:rsidRPr="00160448">
              <w:rPr>
                <w:rFonts w:asciiTheme="minorHAnsi" w:hAnsiTheme="minorHAnsi" w:cstheme="minorHAnsi"/>
                <w:sz w:val="18"/>
                <w:szCs w:val="18"/>
              </w:rPr>
              <w:br/>
              <w:t>Federal, state and local elections</w:t>
            </w:r>
          </w:p>
        </w:tc>
      </w:tr>
      <w:tr w:rsidR="00371938" w:rsidRPr="00160448" w14:paraId="3BEDA578" w14:textId="77777777" w:rsidTr="00371938">
        <w:tc>
          <w:tcPr>
            <w:tcW w:w="2425" w:type="dxa"/>
          </w:tcPr>
          <w:p w14:paraId="14E0DAAE"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Issue framers</w:t>
            </w:r>
          </w:p>
        </w:tc>
        <w:tc>
          <w:tcPr>
            <w:tcW w:w="4050" w:type="dxa"/>
          </w:tcPr>
          <w:p w14:paraId="1131F70B"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As ‘vision builders’: helping define desirable future, strategic plans. As advisers on government policy committees etc.</w:t>
            </w:r>
          </w:p>
        </w:tc>
        <w:tc>
          <w:tcPr>
            <w:tcW w:w="2880" w:type="dxa"/>
          </w:tcPr>
          <w:p w14:paraId="44DF0C74" w14:textId="77777777" w:rsidR="00371938" w:rsidRPr="00160448" w:rsidRDefault="00371938" w:rsidP="00A20B59">
            <w:pPr>
              <w:pStyle w:val="Listbullet1"/>
              <w:numPr>
                <w:ilvl w:val="0"/>
                <w:numId w:val="0"/>
              </w:numPr>
              <w:spacing w:before="60" w:after="60" w:line="240" w:lineRule="auto"/>
              <w:ind w:left="33" w:right="72"/>
              <w:rPr>
                <w:rFonts w:asciiTheme="minorHAnsi" w:hAnsiTheme="minorHAnsi" w:cstheme="minorHAnsi"/>
                <w:sz w:val="18"/>
                <w:szCs w:val="18"/>
              </w:rPr>
            </w:pPr>
            <w:r w:rsidRPr="00160448">
              <w:rPr>
                <w:rFonts w:asciiTheme="minorHAnsi" w:hAnsiTheme="minorHAnsi" w:cstheme="minorHAnsi"/>
                <w:sz w:val="18"/>
                <w:szCs w:val="18"/>
              </w:rPr>
              <w:t xml:space="preserve">Community indicator projects (USA, Canada etc.); community advisory groups </w:t>
            </w:r>
          </w:p>
        </w:tc>
      </w:tr>
      <w:tr w:rsidR="00371938" w:rsidRPr="00160448" w14:paraId="536ACE09" w14:textId="77777777" w:rsidTr="00371938">
        <w:tc>
          <w:tcPr>
            <w:tcW w:w="2425" w:type="dxa"/>
          </w:tcPr>
          <w:p w14:paraId="26F1B294"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Co-producers of services</w:t>
            </w:r>
          </w:p>
        </w:tc>
        <w:tc>
          <w:tcPr>
            <w:tcW w:w="4050" w:type="dxa"/>
          </w:tcPr>
          <w:p w14:paraId="215CA445"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Citizens and community bodies are direct providers of community services on both a paid and voluntary basis, in cooperation with government</w:t>
            </w:r>
          </w:p>
        </w:tc>
        <w:tc>
          <w:tcPr>
            <w:tcW w:w="2880" w:type="dxa"/>
          </w:tcPr>
          <w:p w14:paraId="7A16AFFF" w14:textId="77777777" w:rsidR="00371938" w:rsidRPr="00160448" w:rsidRDefault="00371938" w:rsidP="00A20B59">
            <w:pPr>
              <w:pStyle w:val="Listbullet1"/>
              <w:numPr>
                <w:ilvl w:val="0"/>
                <w:numId w:val="0"/>
              </w:numPr>
              <w:spacing w:before="60" w:after="60" w:line="240" w:lineRule="auto"/>
              <w:ind w:left="33" w:right="72"/>
              <w:rPr>
                <w:rFonts w:asciiTheme="minorHAnsi" w:hAnsiTheme="minorHAnsi" w:cstheme="minorHAnsi"/>
                <w:sz w:val="18"/>
                <w:szCs w:val="18"/>
              </w:rPr>
            </w:pPr>
            <w:r w:rsidRPr="00160448">
              <w:rPr>
                <w:rFonts w:asciiTheme="minorHAnsi" w:hAnsiTheme="minorHAnsi" w:cstheme="minorHAnsi"/>
                <w:sz w:val="18"/>
                <w:szCs w:val="18"/>
              </w:rPr>
              <w:t xml:space="preserve">Non-government community services. ‘Healthy cities program. </w:t>
            </w:r>
          </w:p>
        </w:tc>
      </w:tr>
      <w:tr w:rsidR="00371938" w:rsidRPr="00160448" w14:paraId="76940517" w14:textId="77777777" w:rsidTr="00371938">
        <w:tc>
          <w:tcPr>
            <w:tcW w:w="2425" w:type="dxa"/>
          </w:tcPr>
          <w:p w14:paraId="436F079C"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Service quality evaluators</w:t>
            </w:r>
          </w:p>
        </w:tc>
        <w:tc>
          <w:tcPr>
            <w:tcW w:w="4050" w:type="dxa"/>
          </w:tcPr>
          <w:p w14:paraId="1583CB6F"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As primary users of government services, citizens are best placed to assess their quality and effectiveness</w:t>
            </w:r>
          </w:p>
        </w:tc>
        <w:tc>
          <w:tcPr>
            <w:tcW w:w="2880" w:type="dxa"/>
          </w:tcPr>
          <w:p w14:paraId="7C201A0B" w14:textId="77777777" w:rsidR="00371938" w:rsidRPr="00160448" w:rsidRDefault="00371938" w:rsidP="00A20B59">
            <w:pPr>
              <w:pStyle w:val="Listbullet1"/>
              <w:numPr>
                <w:ilvl w:val="0"/>
                <w:numId w:val="0"/>
              </w:numPr>
              <w:spacing w:before="60" w:after="60" w:line="240" w:lineRule="auto"/>
              <w:ind w:left="33" w:right="72"/>
              <w:rPr>
                <w:rFonts w:asciiTheme="minorHAnsi" w:hAnsiTheme="minorHAnsi" w:cstheme="minorHAnsi"/>
                <w:sz w:val="18"/>
                <w:szCs w:val="18"/>
              </w:rPr>
            </w:pPr>
            <w:r w:rsidRPr="00160448">
              <w:rPr>
                <w:rFonts w:asciiTheme="minorHAnsi" w:hAnsiTheme="minorHAnsi" w:cstheme="minorHAnsi"/>
                <w:sz w:val="18"/>
                <w:szCs w:val="18"/>
              </w:rPr>
              <w:t>Service user assessment forms. Students interviewing park users.</w:t>
            </w:r>
          </w:p>
        </w:tc>
      </w:tr>
      <w:tr w:rsidR="00371938" w:rsidRPr="00160448" w14:paraId="40E87848" w14:textId="77777777" w:rsidTr="00371938">
        <w:tc>
          <w:tcPr>
            <w:tcW w:w="2425" w:type="dxa"/>
          </w:tcPr>
          <w:p w14:paraId="27942F2E"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b/>
                <w:sz w:val="18"/>
                <w:szCs w:val="18"/>
              </w:rPr>
            </w:pPr>
            <w:r w:rsidRPr="00160448">
              <w:rPr>
                <w:rFonts w:asciiTheme="minorHAnsi" w:hAnsiTheme="minorHAnsi" w:cstheme="minorHAnsi"/>
                <w:b/>
                <w:sz w:val="18"/>
                <w:szCs w:val="18"/>
              </w:rPr>
              <w:t>Independent auditors</w:t>
            </w:r>
          </w:p>
        </w:tc>
        <w:tc>
          <w:tcPr>
            <w:tcW w:w="4050" w:type="dxa"/>
          </w:tcPr>
          <w:p w14:paraId="7AE2B9DF" w14:textId="77777777" w:rsidR="00371938" w:rsidRPr="00160448" w:rsidRDefault="00371938" w:rsidP="00A20B59">
            <w:pPr>
              <w:pStyle w:val="Listbullet1"/>
              <w:numPr>
                <w:ilvl w:val="0"/>
                <w:numId w:val="0"/>
              </w:numPr>
              <w:spacing w:before="60" w:after="60" w:line="240" w:lineRule="auto"/>
              <w:rPr>
                <w:rFonts w:asciiTheme="minorHAnsi" w:hAnsiTheme="minorHAnsi" w:cstheme="minorHAnsi"/>
                <w:sz w:val="18"/>
                <w:szCs w:val="18"/>
              </w:rPr>
            </w:pPr>
            <w:r w:rsidRPr="00160448">
              <w:rPr>
                <w:rFonts w:asciiTheme="minorHAnsi" w:hAnsiTheme="minorHAnsi" w:cstheme="minorHAnsi"/>
                <w:sz w:val="18"/>
                <w:szCs w:val="18"/>
              </w:rPr>
              <w:t xml:space="preserve">Grassroots measurement by citizen groups is more likely to be independent and oriented towards actual community wellbeing outcomes </w:t>
            </w:r>
          </w:p>
        </w:tc>
        <w:tc>
          <w:tcPr>
            <w:tcW w:w="2880" w:type="dxa"/>
          </w:tcPr>
          <w:p w14:paraId="670188C2" w14:textId="77777777" w:rsidR="00371938" w:rsidRPr="00160448" w:rsidRDefault="00371938" w:rsidP="00A20B59">
            <w:pPr>
              <w:pStyle w:val="Listbullet1"/>
              <w:numPr>
                <w:ilvl w:val="0"/>
                <w:numId w:val="0"/>
              </w:numPr>
              <w:spacing w:before="60" w:after="60" w:line="240" w:lineRule="auto"/>
              <w:ind w:left="33" w:right="72"/>
              <w:rPr>
                <w:rFonts w:asciiTheme="minorHAnsi" w:hAnsiTheme="minorHAnsi" w:cstheme="minorHAnsi"/>
                <w:sz w:val="18"/>
                <w:szCs w:val="18"/>
              </w:rPr>
            </w:pPr>
            <w:r w:rsidRPr="00160448">
              <w:rPr>
                <w:rFonts w:asciiTheme="minorHAnsi" w:hAnsiTheme="minorHAnsi" w:cstheme="minorHAnsi"/>
                <w:sz w:val="18"/>
                <w:szCs w:val="18"/>
              </w:rPr>
              <w:t xml:space="preserve">Citizen environment monitoring </w:t>
            </w:r>
          </w:p>
        </w:tc>
      </w:tr>
    </w:tbl>
    <w:p w14:paraId="13F418FE" w14:textId="78928C0E" w:rsidR="00371938" w:rsidRPr="0026394B" w:rsidRDefault="0026394B" w:rsidP="0026394B">
      <w:pPr>
        <w:spacing w:after="120" w:line="240" w:lineRule="auto"/>
        <w:jc w:val="both"/>
        <w:rPr>
          <w:rFonts w:cstheme="minorHAnsi"/>
          <w:sz w:val="18"/>
          <w:szCs w:val="18"/>
        </w:rPr>
      </w:pPr>
      <w:r w:rsidRPr="0026394B">
        <w:rPr>
          <w:rFonts w:cstheme="minorHAnsi"/>
          <w:sz w:val="18"/>
          <w:szCs w:val="18"/>
        </w:rPr>
        <w:t xml:space="preserve"> </w:t>
      </w:r>
      <w:r w:rsidR="00A77C68" w:rsidRPr="0026394B">
        <w:rPr>
          <w:rFonts w:cstheme="minorHAnsi"/>
          <w:sz w:val="18"/>
          <w:szCs w:val="18"/>
        </w:rPr>
        <w:t>(</w:t>
      </w:r>
      <w:r w:rsidR="00371938" w:rsidRPr="0026394B">
        <w:rPr>
          <w:rFonts w:cstheme="minorHAnsi"/>
          <w:sz w:val="18"/>
          <w:szCs w:val="18"/>
        </w:rPr>
        <w:t xml:space="preserve">Epstein, P., Wray, L. et al. 2000. </w:t>
      </w:r>
      <w:r w:rsidR="00371938" w:rsidRPr="0026394B">
        <w:rPr>
          <w:rFonts w:cstheme="minorHAnsi"/>
          <w:i/>
          <w:sz w:val="18"/>
          <w:szCs w:val="18"/>
        </w:rPr>
        <w:t>Engaging Citizens in Achieving Results tha</w:t>
      </w:r>
      <w:r w:rsidR="00A77C68" w:rsidRPr="0026394B">
        <w:rPr>
          <w:rFonts w:cstheme="minorHAnsi"/>
          <w:i/>
          <w:sz w:val="18"/>
          <w:szCs w:val="18"/>
        </w:rPr>
        <w:t xml:space="preserve">t Matter: A Model for Effective </w:t>
      </w:r>
      <w:r w:rsidR="00371938" w:rsidRPr="0026394B">
        <w:rPr>
          <w:rFonts w:cstheme="minorHAnsi"/>
          <w:i/>
          <w:sz w:val="18"/>
          <w:szCs w:val="18"/>
        </w:rPr>
        <w:t>21st Century Governance</w:t>
      </w:r>
      <w:r w:rsidR="00371938" w:rsidRPr="0026394B">
        <w:rPr>
          <w:rFonts w:cstheme="minorHAnsi"/>
          <w:sz w:val="18"/>
          <w:szCs w:val="18"/>
        </w:rPr>
        <w:t>. Minneapolis, Minnesota: Citi</w:t>
      </w:r>
      <w:r w:rsidR="00A77C68" w:rsidRPr="0026394B">
        <w:rPr>
          <w:rFonts w:cstheme="minorHAnsi"/>
          <w:sz w:val="18"/>
          <w:szCs w:val="18"/>
        </w:rPr>
        <w:t>zens League)</w:t>
      </w:r>
    </w:p>
    <w:p w14:paraId="0801E125" w14:textId="77777777" w:rsidR="004B70BC" w:rsidRPr="004B3D47" w:rsidRDefault="004B70BC" w:rsidP="004B70BC">
      <w:pPr>
        <w:spacing w:line="240" w:lineRule="auto"/>
        <w:rPr>
          <w:rFonts w:ascii="Georgia" w:hAnsi="Georgia" w:cs="Helv"/>
          <w:color w:val="000000"/>
          <w:sz w:val="32"/>
          <w:szCs w:val="32"/>
        </w:rPr>
      </w:pPr>
    </w:p>
    <w:p w14:paraId="4B270309" w14:textId="6A7E7C48" w:rsidR="004B70BC" w:rsidRPr="00D83854" w:rsidRDefault="004B70BC" w:rsidP="00D83854">
      <w:pPr>
        <w:jc w:val="center"/>
        <w:rPr>
          <w:rFonts w:cstheme="minorHAnsi"/>
          <w:color w:val="2F5496" w:themeColor="accent1" w:themeShade="BF"/>
        </w:rPr>
      </w:pPr>
      <w:r w:rsidRPr="00D83854">
        <w:rPr>
          <w:rFonts w:cstheme="minorHAnsi"/>
          <w:bCs/>
          <w:i/>
          <w:color w:val="2F5496" w:themeColor="accent1" w:themeShade="BF"/>
        </w:rPr>
        <w:t>Appendix B</w:t>
      </w:r>
      <w:r w:rsidRPr="00D83854">
        <w:rPr>
          <w:rFonts w:cstheme="minorHAnsi"/>
          <w:b/>
          <w:bCs/>
          <w:color w:val="2F5496" w:themeColor="accent1" w:themeShade="BF"/>
        </w:rPr>
        <w:t>: The spectrum of public engagement</w:t>
      </w:r>
    </w:p>
    <w:p w14:paraId="32AC4BC2" w14:textId="77777777" w:rsidR="004B70BC" w:rsidRPr="00D83854" w:rsidRDefault="004B70BC" w:rsidP="004B70BC">
      <w:pPr>
        <w:rPr>
          <w:rFonts w:cstheme="minorHAnsi"/>
          <w:b/>
          <w:i/>
          <w:sz w:val="20"/>
          <w:szCs w:val="20"/>
        </w:rPr>
      </w:pPr>
      <w:r w:rsidRPr="00D83854">
        <w:rPr>
          <w:rFonts w:cstheme="minorHAnsi"/>
          <w:b/>
          <w:i/>
          <w:sz w:val="20"/>
          <w:szCs w:val="20"/>
        </w:rPr>
        <w:t xml:space="preserve">Increasing level of public impact </w:t>
      </w:r>
      <w:r w:rsidRPr="00D83854">
        <w:rPr>
          <w:rFonts w:ascii="Arial" w:hAnsi="Arial" w:cs="Arial"/>
          <w:b/>
          <w:i/>
          <w:sz w:val="20"/>
          <w:szCs w:val="20"/>
          <w:shd w:val="clear" w:color="auto" w:fill="E6E6E6"/>
        </w:rPr>
        <w:t>►►</w:t>
      </w:r>
    </w:p>
    <w:tbl>
      <w:tblPr>
        <w:tblStyle w:val="TableGrid"/>
        <w:tblW w:w="0" w:type="auto"/>
        <w:jc w:val="center"/>
        <w:tblLook w:val="01E0" w:firstRow="1" w:lastRow="1" w:firstColumn="1" w:lastColumn="1" w:noHBand="0" w:noVBand="0"/>
      </w:tblPr>
      <w:tblGrid>
        <w:gridCol w:w="1902"/>
        <w:gridCol w:w="1840"/>
        <w:gridCol w:w="1786"/>
        <w:gridCol w:w="2074"/>
        <w:gridCol w:w="1748"/>
      </w:tblGrid>
      <w:tr w:rsidR="004B70BC" w:rsidRPr="00541D2B" w14:paraId="7F318860" w14:textId="77777777" w:rsidTr="00040BD4">
        <w:trPr>
          <w:jc w:val="center"/>
        </w:trPr>
        <w:tc>
          <w:tcPr>
            <w:tcW w:w="1902" w:type="dxa"/>
            <w:shd w:val="clear" w:color="auto" w:fill="E6E6E6"/>
          </w:tcPr>
          <w:p w14:paraId="16E32300" w14:textId="77777777" w:rsidR="004B70BC" w:rsidRPr="00541D2B" w:rsidRDefault="004B70BC" w:rsidP="00040BD4">
            <w:pPr>
              <w:spacing w:before="120" w:after="120"/>
              <w:jc w:val="center"/>
              <w:rPr>
                <w:rFonts w:asciiTheme="minorHAnsi" w:hAnsiTheme="minorHAnsi" w:cstheme="minorHAnsi"/>
                <w:b/>
                <w:bCs/>
                <w:color w:val="000000"/>
                <w:sz w:val="18"/>
                <w:szCs w:val="18"/>
              </w:rPr>
            </w:pPr>
            <w:r w:rsidRPr="00541D2B">
              <w:rPr>
                <w:rFonts w:asciiTheme="minorHAnsi" w:hAnsiTheme="minorHAnsi" w:cstheme="minorHAnsi"/>
                <w:b/>
                <w:bCs/>
                <w:color w:val="000000"/>
                <w:sz w:val="18"/>
                <w:szCs w:val="18"/>
              </w:rPr>
              <w:t>INFORM</w:t>
            </w:r>
          </w:p>
        </w:tc>
        <w:tc>
          <w:tcPr>
            <w:tcW w:w="1840" w:type="dxa"/>
            <w:shd w:val="clear" w:color="auto" w:fill="E6E6E6"/>
          </w:tcPr>
          <w:p w14:paraId="22C28274" w14:textId="77777777" w:rsidR="004B70BC" w:rsidRPr="00541D2B" w:rsidRDefault="004B70BC" w:rsidP="00040BD4">
            <w:pPr>
              <w:spacing w:before="120" w:after="120"/>
              <w:jc w:val="center"/>
              <w:rPr>
                <w:rFonts w:asciiTheme="minorHAnsi" w:hAnsiTheme="minorHAnsi" w:cstheme="minorHAnsi"/>
                <w:b/>
                <w:bCs/>
                <w:color w:val="000000"/>
                <w:sz w:val="18"/>
                <w:szCs w:val="18"/>
              </w:rPr>
            </w:pPr>
            <w:r w:rsidRPr="00541D2B">
              <w:rPr>
                <w:rFonts w:asciiTheme="minorHAnsi" w:hAnsiTheme="minorHAnsi" w:cstheme="minorHAnsi"/>
                <w:b/>
                <w:bCs/>
                <w:color w:val="000000"/>
                <w:sz w:val="18"/>
                <w:szCs w:val="18"/>
              </w:rPr>
              <w:t>CONSULT</w:t>
            </w:r>
          </w:p>
        </w:tc>
        <w:tc>
          <w:tcPr>
            <w:tcW w:w="1786" w:type="dxa"/>
            <w:shd w:val="clear" w:color="auto" w:fill="E6E6E6"/>
          </w:tcPr>
          <w:p w14:paraId="1B13729C" w14:textId="77777777" w:rsidR="004B70BC" w:rsidRPr="00541D2B" w:rsidRDefault="004B70BC" w:rsidP="00040BD4">
            <w:pPr>
              <w:spacing w:before="120" w:after="120"/>
              <w:jc w:val="center"/>
              <w:rPr>
                <w:rFonts w:asciiTheme="minorHAnsi" w:hAnsiTheme="minorHAnsi" w:cstheme="minorHAnsi"/>
                <w:b/>
                <w:bCs/>
                <w:color w:val="000000"/>
                <w:sz w:val="18"/>
                <w:szCs w:val="18"/>
              </w:rPr>
            </w:pPr>
            <w:r w:rsidRPr="00541D2B">
              <w:rPr>
                <w:rFonts w:asciiTheme="minorHAnsi" w:hAnsiTheme="minorHAnsi" w:cstheme="minorHAnsi"/>
                <w:b/>
                <w:bCs/>
                <w:color w:val="000000"/>
                <w:sz w:val="18"/>
                <w:szCs w:val="18"/>
              </w:rPr>
              <w:t>INVOLVE</w:t>
            </w:r>
          </w:p>
        </w:tc>
        <w:tc>
          <w:tcPr>
            <w:tcW w:w="2074" w:type="dxa"/>
            <w:shd w:val="clear" w:color="auto" w:fill="E6E6E6"/>
          </w:tcPr>
          <w:p w14:paraId="542095AD" w14:textId="77777777" w:rsidR="004B70BC" w:rsidRPr="00541D2B" w:rsidRDefault="004B70BC" w:rsidP="00040BD4">
            <w:pPr>
              <w:spacing w:before="120" w:after="120"/>
              <w:jc w:val="center"/>
              <w:rPr>
                <w:rFonts w:asciiTheme="minorHAnsi" w:hAnsiTheme="minorHAnsi" w:cstheme="minorHAnsi"/>
                <w:b/>
                <w:bCs/>
                <w:color w:val="000000"/>
                <w:sz w:val="18"/>
                <w:szCs w:val="18"/>
              </w:rPr>
            </w:pPr>
            <w:r w:rsidRPr="00541D2B">
              <w:rPr>
                <w:rFonts w:asciiTheme="minorHAnsi" w:hAnsiTheme="minorHAnsi" w:cstheme="minorHAnsi"/>
                <w:b/>
                <w:bCs/>
                <w:color w:val="000000"/>
                <w:sz w:val="18"/>
                <w:szCs w:val="18"/>
              </w:rPr>
              <w:t>COLLABORATE</w:t>
            </w:r>
          </w:p>
        </w:tc>
        <w:tc>
          <w:tcPr>
            <w:tcW w:w="1748" w:type="dxa"/>
            <w:shd w:val="clear" w:color="auto" w:fill="E6E6E6"/>
          </w:tcPr>
          <w:p w14:paraId="011AE0DF" w14:textId="77777777" w:rsidR="004B70BC" w:rsidRPr="00541D2B" w:rsidRDefault="004B70BC" w:rsidP="00040BD4">
            <w:pPr>
              <w:spacing w:before="120" w:after="120"/>
              <w:jc w:val="center"/>
              <w:rPr>
                <w:rFonts w:asciiTheme="minorHAnsi" w:hAnsiTheme="minorHAnsi" w:cstheme="minorHAnsi"/>
                <w:b/>
                <w:bCs/>
                <w:color w:val="000000"/>
                <w:sz w:val="18"/>
                <w:szCs w:val="18"/>
              </w:rPr>
            </w:pPr>
            <w:r w:rsidRPr="00541D2B">
              <w:rPr>
                <w:rFonts w:asciiTheme="minorHAnsi" w:hAnsiTheme="minorHAnsi" w:cstheme="minorHAnsi"/>
                <w:b/>
                <w:bCs/>
                <w:color w:val="000000"/>
                <w:sz w:val="18"/>
                <w:szCs w:val="18"/>
              </w:rPr>
              <w:t>EMPOWER</w:t>
            </w:r>
          </w:p>
        </w:tc>
      </w:tr>
      <w:tr w:rsidR="004B70BC" w:rsidRPr="00541D2B" w14:paraId="14D395AB" w14:textId="77777777" w:rsidTr="00040BD4">
        <w:trPr>
          <w:jc w:val="center"/>
        </w:trPr>
        <w:tc>
          <w:tcPr>
            <w:tcW w:w="1902" w:type="dxa"/>
            <w:shd w:val="clear" w:color="auto" w:fill="E6E6E6"/>
          </w:tcPr>
          <w:p w14:paraId="2A49C204" w14:textId="77777777" w:rsidR="004B70BC" w:rsidRPr="00541D2B" w:rsidRDefault="004B70BC" w:rsidP="00040BD4">
            <w:pPr>
              <w:spacing w:before="120" w:after="120"/>
              <w:jc w:val="center"/>
              <w:rPr>
                <w:rFonts w:asciiTheme="minorHAnsi" w:hAnsiTheme="minorHAnsi" w:cstheme="minorHAnsi"/>
                <w:b/>
                <w:i/>
                <w:sz w:val="18"/>
                <w:szCs w:val="18"/>
              </w:rPr>
            </w:pPr>
            <w:r w:rsidRPr="00541D2B">
              <w:rPr>
                <w:rFonts w:asciiTheme="minorHAnsi" w:hAnsiTheme="minorHAnsi" w:cstheme="minorHAnsi"/>
                <w:b/>
                <w:bCs/>
                <w:i/>
                <w:color w:val="000000"/>
                <w:sz w:val="18"/>
                <w:szCs w:val="18"/>
              </w:rPr>
              <w:t>Objective</w:t>
            </w:r>
          </w:p>
        </w:tc>
        <w:tc>
          <w:tcPr>
            <w:tcW w:w="1840" w:type="dxa"/>
            <w:shd w:val="clear" w:color="auto" w:fill="E6E6E6"/>
          </w:tcPr>
          <w:p w14:paraId="6AA4CB1F" w14:textId="77777777" w:rsidR="004B70BC" w:rsidRPr="00541D2B" w:rsidRDefault="004B70BC" w:rsidP="00040BD4">
            <w:pPr>
              <w:spacing w:before="120" w:after="120"/>
              <w:jc w:val="center"/>
              <w:rPr>
                <w:rFonts w:asciiTheme="minorHAnsi" w:hAnsiTheme="minorHAnsi" w:cstheme="minorHAnsi"/>
                <w:b/>
                <w:i/>
                <w:sz w:val="18"/>
                <w:szCs w:val="18"/>
              </w:rPr>
            </w:pPr>
            <w:r w:rsidRPr="00541D2B">
              <w:rPr>
                <w:rFonts w:asciiTheme="minorHAnsi" w:hAnsiTheme="minorHAnsi" w:cstheme="minorHAnsi"/>
                <w:b/>
                <w:bCs/>
                <w:i/>
                <w:color w:val="000000"/>
                <w:sz w:val="18"/>
                <w:szCs w:val="18"/>
              </w:rPr>
              <w:t>Objective</w:t>
            </w:r>
          </w:p>
        </w:tc>
        <w:tc>
          <w:tcPr>
            <w:tcW w:w="1786" w:type="dxa"/>
            <w:shd w:val="clear" w:color="auto" w:fill="E6E6E6"/>
          </w:tcPr>
          <w:p w14:paraId="4F1162E4" w14:textId="77777777" w:rsidR="004B70BC" w:rsidRPr="00541D2B" w:rsidRDefault="004B70BC" w:rsidP="00040BD4">
            <w:pPr>
              <w:spacing w:before="120" w:after="120"/>
              <w:jc w:val="center"/>
              <w:rPr>
                <w:rFonts w:asciiTheme="minorHAnsi" w:hAnsiTheme="minorHAnsi" w:cstheme="minorHAnsi"/>
                <w:b/>
                <w:i/>
                <w:sz w:val="18"/>
                <w:szCs w:val="18"/>
              </w:rPr>
            </w:pPr>
            <w:r w:rsidRPr="00541D2B">
              <w:rPr>
                <w:rFonts w:asciiTheme="minorHAnsi" w:hAnsiTheme="minorHAnsi" w:cstheme="minorHAnsi"/>
                <w:b/>
                <w:bCs/>
                <w:i/>
                <w:color w:val="000000"/>
                <w:sz w:val="18"/>
                <w:szCs w:val="18"/>
              </w:rPr>
              <w:t>Objective</w:t>
            </w:r>
          </w:p>
        </w:tc>
        <w:tc>
          <w:tcPr>
            <w:tcW w:w="2074" w:type="dxa"/>
            <w:shd w:val="clear" w:color="auto" w:fill="E6E6E6"/>
          </w:tcPr>
          <w:p w14:paraId="690B9D9E" w14:textId="77777777" w:rsidR="004B70BC" w:rsidRPr="00541D2B" w:rsidRDefault="004B70BC" w:rsidP="00040BD4">
            <w:pPr>
              <w:spacing w:before="120" w:after="120"/>
              <w:jc w:val="center"/>
              <w:rPr>
                <w:rFonts w:asciiTheme="minorHAnsi" w:hAnsiTheme="minorHAnsi" w:cstheme="minorHAnsi"/>
                <w:b/>
                <w:i/>
                <w:sz w:val="18"/>
                <w:szCs w:val="18"/>
              </w:rPr>
            </w:pPr>
            <w:r w:rsidRPr="00541D2B">
              <w:rPr>
                <w:rFonts w:asciiTheme="minorHAnsi" w:hAnsiTheme="minorHAnsi" w:cstheme="minorHAnsi"/>
                <w:b/>
                <w:bCs/>
                <w:i/>
                <w:color w:val="000000"/>
                <w:sz w:val="18"/>
                <w:szCs w:val="18"/>
              </w:rPr>
              <w:t>Objective</w:t>
            </w:r>
          </w:p>
        </w:tc>
        <w:tc>
          <w:tcPr>
            <w:tcW w:w="1748" w:type="dxa"/>
            <w:shd w:val="clear" w:color="auto" w:fill="E6E6E6"/>
          </w:tcPr>
          <w:p w14:paraId="7DAA999A" w14:textId="77777777" w:rsidR="004B70BC" w:rsidRPr="00541D2B" w:rsidRDefault="004B70BC" w:rsidP="00040BD4">
            <w:pPr>
              <w:spacing w:before="120" w:after="120"/>
              <w:jc w:val="center"/>
              <w:rPr>
                <w:rFonts w:asciiTheme="minorHAnsi" w:hAnsiTheme="minorHAnsi" w:cstheme="minorHAnsi"/>
                <w:b/>
                <w:i/>
                <w:sz w:val="18"/>
                <w:szCs w:val="18"/>
              </w:rPr>
            </w:pPr>
            <w:r w:rsidRPr="00541D2B">
              <w:rPr>
                <w:rFonts w:asciiTheme="minorHAnsi" w:hAnsiTheme="minorHAnsi" w:cstheme="minorHAnsi"/>
                <w:b/>
                <w:bCs/>
                <w:i/>
                <w:color w:val="000000"/>
                <w:sz w:val="18"/>
                <w:szCs w:val="18"/>
              </w:rPr>
              <w:t>Objective</w:t>
            </w:r>
          </w:p>
        </w:tc>
      </w:tr>
      <w:tr w:rsidR="004B70BC" w:rsidRPr="00541D2B" w14:paraId="1DFE87B5" w14:textId="77777777" w:rsidTr="00040BD4">
        <w:trPr>
          <w:jc w:val="center"/>
        </w:trPr>
        <w:tc>
          <w:tcPr>
            <w:tcW w:w="1902" w:type="dxa"/>
          </w:tcPr>
          <w:p w14:paraId="14218A2E" w14:textId="77777777" w:rsidR="004B70BC" w:rsidRPr="00541D2B" w:rsidRDefault="004B70BC" w:rsidP="00040BD4">
            <w:pPr>
              <w:spacing w:before="120" w:after="120"/>
              <w:rPr>
                <w:rFonts w:asciiTheme="minorHAnsi" w:hAnsiTheme="minorHAnsi" w:cstheme="minorHAnsi"/>
                <w:sz w:val="18"/>
                <w:szCs w:val="18"/>
              </w:rPr>
            </w:pPr>
            <w:r w:rsidRPr="00541D2B">
              <w:rPr>
                <w:rFonts w:asciiTheme="minorHAnsi" w:hAnsiTheme="minorHAnsi" w:cstheme="minorHAnsi"/>
                <w:color w:val="000000"/>
                <w:sz w:val="18"/>
                <w:szCs w:val="18"/>
              </w:rPr>
              <w:t>To provide the public with balanced and objective information to assist them in understanding the problem, alternatives, or solutions</w:t>
            </w:r>
          </w:p>
        </w:tc>
        <w:tc>
          <w:tcPr>
            <w:tcW w:w="1840" w:type="dxa"/>
          </w:tcPr>
          <w:p w14:paraId="65BEBE02" w14:textId="77777777" w:rsidR="004B70BC" w:rsidRPr="00541D2B" w:rsidRDefault="004B70BC" w:rsidP="00040BD4">
            <w:pPr>
              <w:spacing w:before="120" w:after="120"/>
              <w:rPr>
                <w:rFonts w:asciiTheme="minorHAnsi" w:hAnsiTheme="minorHAnsi" w:cstheme="minorHAnsi"/>
                <w:sz w:val="18"/>
                <w:szCs w:val="18"/>
              </w:rPr>
            </w:pPr>
            <w:r w:rsidRPr="00541D2B">
              <w:rPr>
                <w:rFonts w:asciiTheme="minorHAnsi" w:hAnsiTheme="minorHAnsi" w:cstheme="minorHAnsi"/>
                <w:color w:val="000000"/>
                <w:sz w:val="18"/>
                <w:szCs w:val="18"/>
              </w:rPr>
              <w:t>To obtain public feedback on analysis, alternatives, or decisions</w:t>
            </w:r>
          </w:p>
        </w:tc>
        <w:tc>
          <w:tcPr>
            <w:tcW w:w="1786" w:type="dxa"/>
          </w:tcPr>
          <w:p w14:paraId="618C2E83" w14:textId="77777777" w:rsidR="004B70BC" w:rsidRPr="00541D2B" w:rsidRDefault="004B70BC" w:rsidP="00040BD4">
            <w:pPr>
              <w:spacing w:before="120" w:after="120"/>
              <w:rPr>
                <w:rFonts w:asciiTheme="minorHAnsi" w:hAnsiTheme="minorHAnsi" w:cstheme="minorHAnsi"/>
                <w:sz w:val="18"/>
                <w:szCs w:val="18"/>
              </w:rPr>
            </w:pPr>
            <w:r w:rsidRPr="00541D2B">
              <w:rPr>
                <w:rFonts w:asciiTheme="minorHAnsi" w:hAnsiTheme="minorHAnsi" w:cstheme="minorHAnsi"/>
                <w:color w:val="000000"/>
                <w:sz w:val="18"/>
                <w:szCs w:val="18"/>
              </w:rPr>
              <w:t>To work directly with the public throughout the process to ensure that public and private concerns are consistently understood and considered</w:t>
            </w:r>
          </w:p>
        </w:tc>
        <w:tc>
          <w:tcPr>
            <w:tcW w:w="2074" w:type="dxa"/>
          </w:tcPr>
          <w:p w14:paraId="59E144FC" w14:textId="77777777" w:rsidR="004B70BC" w:rsidRPr="00541D2B" w:rsidRDefault="004B70BC" w:rsidP="00040BD4">
            <w:pPr>
              <w:spacing w:before="120" w:after="120"/>
              <w:rPr>
                <w:rFonts w:asciiTheme="minorHAnsi" w:hAnsiTheme="minorHAnsi" w:cstheme="minorHAnsi"/>
                <w:sz w:val="18"/>
                <w:szCs w:val="18"/>
              </w:rPr>
            </w:pPr>
            <w:r w:rsidRPr="00541D2B">
              <w:rPr>
                <w:rFonts w:asciiTheme="minorHAnsi" w:hAnsiTheme="minorHAnsi" w:cstheme="minorHAnsi"/>
                <w:color w:val="000000"/>
                <w:sz w:val="18"/>
                <w:szCs w:val="18"/>
              </w:rPr>
              <w:t>To partner with the public in each aspect of the decision including the development of alternatives and the identification of the preferred solution</w:t>
            </w:r>
          </w:p>
        </w:tc>
        <w:tc>
          <w:tcPr>
            <w:tcW w:w="1748" w:type="dxa"/>
          </w:tcPr>
          <w:p w14:paraId="322058E1" w14:textId="77777777" w:rsidR="004B70BC" w:rsidRPr="00541D2B" w:rsidRDefault="004B70BC" w:rsidP="00040BD4">
            <w:pPr>
              <w:spacing w:before="120" w:after="120"/>
              <w:rPr>
                <w:rFonts w:asciiTheme="minorHAnsi" w:hAnsiTheme="minorHAnsi" w:cstheme="minorHAnsi"/>
                <w:sz w:val="18"/>
                <w:szCs w:val="18"/>
              </w:rPr>
            </w:pPr>
            <w:r w:rsidRPr="00541D2B">
              <w:rPr>
                <w:rFonts w:asciiTheme="minorHAnsi" w:hAnsiTheme="minorHAnsi" w:cstheme="minorHAnsi"/>
                <w:color w:val="000000"/>
                <w:sz w:val="18"/>
                <w:szCs w:val="18"/>
              </w:rPr>
              <w:t>To place final decision making in the hands of the public</w:t>
            </w:r>
          </w:p>
        </w:tc>
      </w:tr>
    </w:tbl>
    <w:p w14:paraId="14CC77BA" w14:textId="6AC8ED3F" w:rsidR="000932C8" w:rsidRPr="00B250EF" w:rsidRDefault="004B70BC" w:rsidP="008D4431">
      <w:pPr>
        <w:rPr>
          <w:rFonts w:cstheme="minorHAnsi"/>
          <w:sz w:val="18"/>
          <w:szCs w:val="18"/>
        </w:rPr>
      </w:pPr>
      <w:r w:rsidRPr="00541D2B">
        <w:rPr>
          <w:rFonts w:cstheme="minorHAnsi"/>
          <w:sz w:val="18"/>
          <w:szCs w:val="18"/>
        </w:rPr>
        <w:t xml:space="preserve">Source: NSW Department of Infrastructure, Planning and Natural Resources website, </w:t>
      </w:r>
      <w:r w:rsidRPr="00541D2B">
        <w:rPr>
          <w:rFonts w:cstheme="minorHAnsi"/>
          <w:sz w:val="18"/>
          <w:szCs w:val="18"/>
        </w:rPr>
        <w:br/>
      </w:r>
      <w:hyperlink r:id="rId10" w:history="1">
        <w:r w:rsidRPr="00541D2B">
          <w:rPr>
            <w:rStyle w:val="Hyperlink"/>
            <w:rFonts w:cstheme="minorHAnsi"/>
            <w:sz w:val="18"/>
            <w:szCs w:val="18"/>
          </w:rPr>
          <w:t>http://www.iplan.nsw.gov.au/engagement/essentials/spectrum.php</w:t>
        </w:r>
      </w:hyperlink>
      <w:r w:rsidR="0026394B">
        <w:rPr>
          <w:rFonts w:cstheme="minorHAnsi"/>
          <w:sz w:val="18"/>
          <w:szCs w:val="18"/>
        </w:rPr>
        <w:t xml:space="preserve"> </w:t>
      </w:r>
      <w:r>
        <w:rPr>
          <w:rFonts w:cstheme="minorHAnsi"/>
          <w:sz w:val="18"/>
          <w:szCs w:val="18"/>
        </w:rPr>
        <w:t>Based on the original model of the International Association for Public Participation (IAP2</w:t>
      </w:r>
      <w:r w:rsidR="00B250EF">
        <w:rPr>
          <w:rFonts w:cstheme="minorHAnsi"/>
          <w:sz w:val="18"/>
          <w:szCs w:val="18"/>
        </w:rPr>
        <w:t>)</w:t>
      </w:r>
    </w:p>
    <w:sectPr w:rsidR="000932C8" w:rsidRPr="00B250EF" w:rsidSect="00A55A1D">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D73C" w14:textId="77777777" w:rsidR="00C00291" w:rsidRDefault="00C00291" w:rsidP="00A55A1D">
      <w:pPr>
        <w:spacing w:after="0" w:line="240" w:lineRule="auto"/>
      </w:pPr>
      <w:r>
        <w:separator/>
      </w:r>
    </w:p>
  </w:endnote>
  <w:endnote w:type="continuationSeparator" w:id="0">
    <w:p w14:paraId="58A8E99B" w14:textId="77777777" w:rsidR="00C00291" w:rsidRDefault="00C00291" w:rsidP="00A5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1BDB" w14:textId="77777777" w:rsidR="00C00291" w:rsidRDefault="00C00291" w:rsidP="00A55A1D">
      <w:pPr>
        <w:spacing w:after="0" w:line="240" w:lineRule="auto"/>
      </w:pPr>
      <w:r>
        <w:separator/>
      </w:r>
    </w:p>
  </w:footnote>
  <w:footnote w:type="continuationSeparator" w:id="0">
    <w:p w14:paraId="3575CE39" w14:textId="77777777" w:rsidR="00C00291" w:rsidRDefault="00C00291" w:rsidP="00A55A1D">
      <w:pPr>
        <w:spacing w:after="0" w:line="240" w:lineRule="auto"/>
      </w:pPr>
      <w:r>
        <w:continuationSeparator/>
      </w:r>
    </w:p>
  </w:footnote>
  <w:footnote w:id="1">
    <w:p w14:paraId="48C3870E" w14:textId="526FDECE" w:rsidR="008F334A" w:rsidRPr="00220DB9" w:rsidRDefault="008F334A">
      <w:pPr>
        <w:pStyle w:val="FootnoteText"/>
        <w:rPr>
          <w:lang w:val="en-US"/>
        </w:rPr>
      </w:pPr>
      <w:r>
        <w:rPr>
          <w:rStyle w:val="FootnoteReference"/>
        </w:rPr>
        <w:footnoteRef/>
      </w:r>
      <w:r>
        <w:t xml:space="preserve"> </w:t>
      </w:r>
      <w:r w:rsidR="004D11B2" w:rsidRPr="00220DB9">
        <w:rPr>
          <w:sz w:val="18"/>
          <w:szCs w:val="18"/>
          <w:lang w:val="en-US"/>
        </w:rPr>
        <w:t>Senior Research Fellow, University of Melbourne, Director, ANDI Limited</w:t>
      </w:r>
    </w:p>
  </w:footnote>
  <w:footnote w:id="2">
    <w:p w14:paraId="6A6460E5" w14:textId="4F90604C" w:rsidR="004D11B2" w:rsidRPr="00220DB9" w:rsidRDefault="004D11B2">
      <w:pPr>
        <w:pStyle w:val="FootnoteText"/>
        <w:rPr>
          <w:lang w:val="en-US"/>
        </w:rPr>
      </w:pPr>
      <w:r>
        <w:rPr>
          <w:rStyle w:val="FootnoteReference"/>
        </w:rPr>
        <w:footnoteRef/>
      </w:r>
      <w:r>
        <w:t xml:space="preserve"> </w:t>
      </w:r>
      <w:r w:rsidRPr="00220DB9">
        <w:rPr>
          <w:sz w:val="18"/>
          <w:szCs w:val="18"/>
          <w:lang w:val="en-US"/>
        </w:rPr>
        <w:t>Distinguished Professor, University of WA,  Co-Director, ANDI Project, University of Melbourne</w:t>
      </w:r>
    </w:p>
  </w:footnote>
  <w:footnote w:id="3">
    <w:p w14:paraId="4272C420" w14:textId="43DDAE76" w:rsidR="004D11B2" w:rsidRPr="00220DB9" w:rsidRDefault="004D11B2">
      <w:pPr>
        <w:pStyle w:val="FootnoteText"/>
        <w:rPr>
          <w:lang w:val="en-US"/>
        </w:rPr>
      </w:pPr>
      <w:r>
        <w:rPr>
          <w:rStyle w:val="FootnoteReference"/>
        </w:rPr>
        <w:footnoteRef/>
      </w:r>
      <w:r>
        <w:t xml:space="preserve"> </w:t>
      </w:r>
      <w:r w:rsidRPr="00220DB9">
        <w:rPr>
          <w:sz w:val="18"/>
          <w:szCs w:val="18"/>
          <w:lang w:val="en-US"/>
        </w:rPr>
        <w:t>Emeritus Professor,</w:t>
      </w:r>
      <w:r>
        <w:rPr>
          <w:sz w:val="18"/>
          <w:szCs w:val="18"/>
          <w:lang w:val="en-US"/>
        </w:rPr>
        <w:t xml:space="preserve"> University of Melbourne</w:t>
      </w:r>
      <w:r w:rsidRPr="00220DB9">
        <w:rPr>
          <w:sz w:val="18"/>
          <w:szCs w:val="18"/>
          <w:lang w:val="en-US"/>
        </w:rPr>
        <w:t>, Co-Director, ANDI Project</w:t>
      </w:r>
      <w:r>
        <w:rPr>
          <w:sz w:val="18"/>
          <w:szCs w:val="18"/>
          <w:lang w:val="en-US"/>
        </w:rPr>
        <w:t>,</w:t>
      </w:r>
      <w:r w:rsidRPr="00220DB9">
        <w:rPr>
          <w:sz w:val="18"/>
          <w:szCs w:val="18"/>
          <w:lang w:val="en-US"/>
        </w:rPr>
        <w:t xml:space="preserve"> University of Melbourne</w:t>
      </w:r>
    </w:p>
  </w:footnote>
  <w:footnote w:id="4">
    <w:p w14:paraId="1E333D1A" w14:textId="51CC7481" w:rsidR="00C810FE" w:rsidRPr="00E105B9" w:rsidRDefault="00C810FE">
      <w:pPr>
        <w:pStyle w:val="FootnoteText"/>
        <w:rPr>
          <w:sz w:val="18"/>
          <w:szCs w:val="18"/>
          <w:lang w:val="en-US"/>
        </w:rPr>
      </w:pPr>
      <w:r>
        <w:rPr>
          <w:rStyle w:val="FootnoteReference"/>
        </w:rPr>
        <w:footnoteRef/>
      </w:r>
      <w:r>
        <w:t xml:space="preserve"> </w:t>
      </w:r>
      <w:r w:rsidRPr="00E105B9">
        <w:rPr>
          <w:sz w:val="18"/>
          <w:szCs w:val="18"/>
          <w:lang w:val="en-US"/>
        </w:rPr>
        <w:t>For details of ANDI and its goals, members etc</w:t>
      </w:r>
      <w:r w:rsidR="00E2449C">
        <w:rPr>
          <w:sz w:val="18"/>
          <w:szCs w:val="18"/>
          <w:lang w:val="en-US"/>
        </w:rPr>
        <w:t>.</w:t>
      </w:r>
      <w:r w:rsidRPr="00E105B9">
        <w:rPr>
          <w:sz w:val="18"/>
          <w:szCs w:val="18"/>
          <w:lang w:val="en-US"/>
        </w:rPr>
        <w:t xml:space="preserve">, see: </w:t>
      </w:r>
      <w:hyperlink r:id="rId1" w:history="1">
        <w:r w:rsidRPr="00E105B9">
          <w:rPr>
            <w:rStyle w:val="Hyperlink"/>
            <w:sz w:val="18"/>
            <w:szCs w:val="18"/>
            <w:lang w:val="en-US"/>
          </w:rPr>
          <w:t>www.andi.org.au</w:t>
        </w:r>
      </w:hyperlink>
      <w:r w:rsidRPr="00E105B9">
        <w:rPr>
          <w:sz w:val="18"/>
          <w:szCs w:val="18"/>
          <w:lang w:val="en-US"/>
        </w:rPr>
        <w:t xml:space="preserve"> </w:t>
      </w:r>
    </w:p>
  </w:footnote>
  <w:footnote w:id="5">
    <w:p w14:paraId="00385262" w14:textId="5B37E68A" w:rsidR="00C810FE" w:rsidRPr="00696919" w:rsidRDefault="00C810FE">
      <w:pPr>
        <w:pStyle w:val="FootnoteText"/>
        <w:rPr>
          <w:lang w:val="en-US"/>
        </w:rPr>
      </w:pPr>
      <w:r>
        <w:rPr>
          <w:rStyle w:val="FootnoteReference"/>
        </w:rPr>
        <w:footnoteRef/>
      </w:r>
      <w:r>
        <w:t xml:space="preserve"> </w:t>
      </w:r>
      <w:r w:rsidRPr="00E105B9">
        <w:rPr>
          <w:sz w:val="18"/>
          <w:szCs w:val="18"/>
          <w:lang w:val="en-US"/>
        </w:rPr>
        <w:t>These domains are listed</w:t>
      </w:r>
      <w:r w:rsidR="0011146F" w:rsidRPr="00E105B9">
        <w:rPr>
          <w:sz w:val="18"/>
          <w:szCs w:val="18"/>
          <w:lang w:val="en-US"/>
        </w:rPr>
        <w:t xml:space="preserve"> in Figure 2 below.</w:t>
      </w:r>
    </w:p>
  </w:footnote>
  <w:footnote w:id="6">
    <w:p w14:paraId="4D34179B" w14:textId="7712E6A5" w:rsidR="00372E55" w:rsidRPr="00220DB9" w:rsidRDefault="00372E55">
      <w:pPr>
        <w:pStyle w:val="FootnoteText"/>
        <w:rPr>
          <w:lang w:val="en-US"/>
        </w:rPr>
      </w:pPr>
      <w:r>
        <w:rPr>
          <w:rStyle w:val="FootnoteReference"/>
        </w:rPr>
        <w:footnoteRef/>
      </w:r>
      <w:r>
        <w:t xml:space="preserve"> </w:t>
      </w:r>
      <w:r w:rsidRPr="00220DB9">
        <w:rPr>
          <w:sz w:val="18"/>
          <w:szCs w:val="18"/>
          <w:lang w:val="en-US"/>
        </w:rPr>
        <w:t>Stiglitz et al (2008)</w:t>
      </w:r>
    </w:p>
  </w:footnote>
  <w:footnote w:id="7">
    <w:p w14:paraId="228FB283" w14:textId="49D510FB" w:rsidR="00C810FE" w:rsidRPr="00667C5C" w:rsidRDefault="00C810FE" w:rsidP="00E12626">
      <w:pPr>
        <w:pStyle w:val="FootnoteText"/>
        <w:rPr>
          <w:lang w:val="en-US"/>
        </w:rPr>
      </w:pPr>
      <w:r>
        <w:rPr>
          <w:rStyle w:val="FootnoteReference"/>
        </w:rPr>
        <w:footnoteRef/>
      </w:r>
      <w:r>
        <w:t xml:space="preserve"> </w:t>
      </w:r>
      <w:r w:rsidRPr="00E105B9">
        <w:rPr>
          <w:sz w:val="18"/>
          <w:szCs w:val="18"/>
        </w:rPr>
        <w:t xml:space="preserve">For an </w:t>
      </w:r>
      <w:r w:rsidR="00C2108A" w:rsidRPr="00E105B9">
        <w:rPr>
          <w:sz w:val="18"/>
          <w:szCs w:val="18"/>
        </w:rPr>
        <w:t>overview</w:t>
      </w:r>
      <w:r w:rsidRPr="00E105B9">
        <w:rPr>
          <w:sz w:val="18"/>
          <w:szCs w:val="18"/>
        </w:rPr>
        <w:t xml:space="preserve"> of the global movement and ANDI’s development, see </w:t>
      </w:r>
      <w:r w:rsidR="0046711B" w:rsidRPr="00E105B9">
        <w:rPr>
          <w:sz w:val="18"/>
          <w:szCs w:val="18"/>
        </w:rPr>
        <w:t>Salvaris (2013)</w:t>
      </w:r>
      <w:r w:rsidR="00C2108A" w:rsidRPr="00E105B9">
        <w:rPr>
          <w:sz w:val="18"/>
          <w:szCs w:val="18"/>
        </w:rPr>
        <w:t>.</w:t>
      </w:r>
      <w:r w:rsidR="00C2108A">
        <w:t xml:space="preserve"> </w:t>
      </w:r>
    </w:p>
  </w:footnote>
  <w:footnote w:id="8">
    <w:p w14:paraId="46900FA8" w14:textId="61768B66" w:rsidR="00C810FE" w:rsidRPr="0011146F" w:rsidRDefault="00C810FE">
      <w:pPr>
        <w:pStyle w:val="FootnoteText"/>
      </w:pPr>
      <w:r>
        <w:rPr>
          <w:rStyle w:val="FootnoteReference"/>
        </w:rPr>
        <w:footnoteRef/>
      </w:r>
      <w:r>
        <w:t xml:space="preserve"> </w:t>
      </w:r>
      <w:r w:rsidRPr="00E105B9">
        <w:rPr>
          <w:sz w:val="18"/>
          <w:szCs w:val="18"/>
        </w:rPr>
        <w:t>In 21</w:t>
      </w:r>
      <w:r w:rsidRPr="00E105B9">
        <w:rPr>
          <w:sz w:val="18"/>
          <w:szCs w:val="18"/>
          <w:vertAlign w:val="superscript"/>
        </w:rPr>
        <w:t>st</w:t>
      </w:r>
      <w:r w:rsidR="0046711B" w:rsidRPr="00E105B9">
        <w:rPr>
          <w:sz w:val="18"/>
          <w:szCs w:val="18"/>
        </w:rPr>
        <w:t xml:space="preserve"> century economies</w:t>
      </w:r>
      <w:r w:rsidRPr="00E105B9">
        <w:rPr>
          <w:sz w:val="18"/>
          <w:szCs w:val="18"/>
        </w:rPr>
        <w:t xml:space="preserve">, </w:t>
      </w:r>
      <w:r w:rsidR="0046711B" w:rsidRPr="00E105B9">
        <w:rPr>
          <w:sz w:val="18"/>
          <w:szCs w:val="18"/>
        </w:rPr>
        <w:t>shaped by</w:t>
      </w:r>
      <w:r w:rsidRPr="00E105B9">
        <w:rPr>
          <w:sz w:val="18"/>
          <w:szCs w:val="18"/>
        </w:rPr>
        <w:t xml:space="preserve"> </w:t>
      </w:r>
      <w:r w:rsidR="0046711B" w:rsidRPr="00E105B9">
        <w:rPr>
          <w:sz w:val="18"/>
          <w:szCs w:val="18"/>
        </w:rPr>
        <w:t xml:space="preserve">the combined effects of globalisation, </w:t>
      </w:r>
      <w:r w:rsidRPr="00E105B9">
        <w:rPr>
          <w:sz w:val="18"/>
          <w:szCs w:val="18"/>
        </w:rPr>
        <w:t>h</w:t>
      </w:r>
      <w:r w:rsidR="0046711B" w:rsidRPr="00E105B9">
        <w:rPr>
          <w:sz w:val="18"/>
          <w:szCs w:val="18"/>
        </w:rPr>
        <w:t>i</w:t>
      </w:r>
      <w:r w:rsidRPr="00E105B9">
        <w:rPr>
          <w:sz w:val="18"/>
          <w:szCs w:val="18"/>
        </w:rPr>
        <w:t>gh techn</w:t>
      </w:r>
      <w:r w:rsidR="0046711B" w:rsidRPr="00E105B9">
        <w:rPr>
          <w:sz w:val="18"/>
          <w:szCs w:val="18"/>
        </w:rPr>
        <w:t>ology</w:t>
      </w:r>
      <w:r w:rsidRPr="00E105B9">
        <w:rPr>
          <w:sz w:val="18"/>
          <w:szCs w:val="18"/>
        </w:rPr>
        <w:t xml:space="preserve">, </w:t>
      </w:r>
      <w:r w:rsidR="0046711B" w:rsidRPr="00E105B9">
        <w:rPr>
          <w:sz w:val="18"/>
          <w:szCs w:val="18"/>
        </w:rPr>
        <w:t>a shift from production of goods to services, large scale financialisation, and artificial tax-related international transfers of income and wealth, the reliability of the mid-20</w:t>
      </w:r>
      <w:r w:rsidR="0046711B" w:rsidRPr="00E105B9">
        <w:rPr>
          <w:sz w:val="18"/>
          <w:szCs w:val="18"/>
          <w:vertAlign w:val="superscript"/>
        </w:rPr>
        <w:t>th</w:t>
      </w:r>
      <w:r w:rsidR="00B250EF">
        <w:rPr>
          <w:sz w:val="18"/>
          <w:szCs w:val="18"/>
        </w:rPr>
        <w:t>-</w:t>
      </w:r>
      <w:r w:rsidR="0046711B" w:rsidRPr="00E105B9">
        <w:rPr>
          <w:sz w:val="18"/>
          <w:szCs w:val="18"/>
        </w:rPr>
        <w:t>century</w:t>
      </w:r>
      <w:r w:rsidR="00B250EF">
        <w:rPr>
          <w:sz w:val="18"/>
          <w:szCs w:val="18"/>
        </w:rPr>
        <w:t>-developed</w:t>
      </w:r>
      <w:r w:rsidR="0046711B" w:rsidRPr="00E105B9">
        <w:rPr>
          <w:sz w:val="18"/>
          <w:szCs w:val="18"/>
        </w:rPr>
        <w:t xml:space="preserve"> GDP i</w:t>
      </w:r>
      <w:r w:rsidR="0011146F" w:rsidRPr="00E105B9">
        <w:rPr>
          <w:sz w:val="18"/>
          <w:szCs w:val="18"/>
        </w:rPr>
        <w:t xml:space="preserve">s increasingly questioned: see </w:t>
      </w:r>
      <w:r w:rsidR="000E5578" w:rsidRPr="00E105B9">
        <w:rPr>
          <w:sz w:val="18"/>
          <w:szCs w:val="18"/>
        </w:rPr>
        <w:t>Stiglitz</w:t>
      </w:r>
      <w:r w:rsidR="0046711B" w:rsidRPr="00E105B9">
        <w:rPr>
          <w:sz w:val="18"/>
          <w:szCs w:val="18"/>
        </w:rPr>
        <w:t xml:space="preserve"> et al </w:t>
      </w:r>
      <w:r w:rsidR="0011146F" w:rsidRPr="00E105B9">
        <w:rPr>
          <w:sz w:val="18"/>
          <w:szCs w:val="18"/>
        </w:rPr>
        <w:t xml:space="preserve">(2008); </w:t>
      </w:r>
      <w:r w:rsidR="000E5578" w:rsidRPr="00E105B9">
        <w:rPr>
          <w:sz w:val="18"/>
          <w:szCs w:val="18"/>
          <w:lang w:val="en-US"/>
        </w:rPr>
        <w:t>Coyle (</w:t>
      </w:r>
      <w:r w:rsidR="00E105B9" w:rsidRPr="00E105B9">
        <w:rPr>
          <w:sz w:val="18"/>
          <w:szCs w:val="18"/>
          <w:lang w:val="en-US"/>
        </w:rPr>
        <w:t>2014</w:t>
      </w:r>
      <w:r w:rsidR="000E5578" w:rsidRPr="00E105B9">
        <w:rPr>
          <w:sz w:val="18"/>
          <w:szCs w:val="18"/>
          <w:lang w:val="en-US"/>
        </w:rPr>
        <w:t>), Credit</w:t>
      </w:r>
      <w:r w:rsidRPr="00E105B9">
        <w:rPr>
          <w:sz w:val="18"/>
          <w:szCs w:val="18"/>
          <w:lang w:val="en-US"/>
        </w:rPr>
        <w:t xml:space="preserve"> </w:t>
      </w:r>
      <w:r w:rsidR="000E5578" w:rsidRPr="00E105B9">
        <w:rPr>
          <w:sz w:val="18"/>
          <w:szCs w:val="18"/>
          <w:lang w:val="en-US"/>
        </w:rPr>
        <w:t xml:space="preserve">Suisse (2018), </w:t>
      </w:r>
      <w:r w:rsidRPr="00E105B9">
        <w:rPr>
          <w:sz w:val="18"/>
          <w:szCs w:val="18"/>
          <w:lang w:val="en-US"/>
        </w:rPr>
        <w:t>Pilling</w:t>
      </w:r>
      <w:r w:rsidR="000E5578" w:rsidRPr="00E105B9">
        <w:rPr>
          <w:sz w:val="18"/>
          <w:szCs w:val="18"/>
          <w:lang w:val="en-US"/>
        </w:rPr>
        <w:t xml:space="preserve"> (</w:t>
      </w:r>
      <w:r w:rsidR="0011146F" w:rsidRPr="00E105B9">
        <w:rPr>
          <w:sz w:val="18"/>
          <w:szCs w:val="18"/>
          <w:lang w:val="en-US"/>
        </w:rPr>
        <w:t>2017</w:t>
      </w:r>
      <w:r w:rsidR="000E5578" w:rsidRPr="00E105B9">
        <w:rPr>
          <w:sz w:val="18"/>
          <w:szCs w:val="18"/>
          <w:lang w:val="en-US"/>
        </w:rPr>
        <w:t>)</w:t>
      </w:r>
      <w:r w:rsidRPr="00E105B9">
        <w:rPr>
          <w:sz w:val="18"/>
          <w:szCs w:val="18"/>
          <w:lang w:val="en-US"/>
        </w:rPr>
        <w:t xml:space="preserve">, </w:t>
      </w:r>
      <w:r w:rsidR="000E5578" w:rsidRPr="00E105B9">
        <w:rPr>
          <w:sz w:val="18"/>
          <w:szCs w:val="18"/>
          <w:lang w:val="en-US"/>
        </w:rPr>
        <w:t>Mazzucato (2018)</w:t>
      </w:r>
    </w:p>
  </w:footnote>
  <w:footnote w:id="9">
    <w:p w14:paraId="5330C448" w14:textId="453AD5BD" w:rsidR="00C810FE" w:rsidRPr="005D22C3" w:rsidRDefault="00C810FE">
      <w:pPr>
        <w:pStyle w:val="FootnoteText"/>
        <w:rPr>
          <w:lang w:val="en-US"/>
        </w:rPr>
      </w:pPr>
      <w:r>
        <w:rPr>
          <w:rStyle w:val="FootnoteReference"/>
        </w:rPr>
        <w:footnoteRef/>
      </w:r>
      <w:r>
        <w:t xml:space="preserve"> </w:t>
      </w:r>
      <w:r w:rsidR="000E5578" w:rsidRPr="00E105B9">
        <w:rPr>
          <w:sz w:val="18"/>
          <w:szCs w:val="18"/>
          <w:lang w:val="en-US"/>
        </w:rPr>
        <w:t>Coyle (</w:t>
      </w:r>
      <w:r w:rsidR="00E105B9" w:rsidRPr="00E105B9">
        <w:rPr>
          <w:sz w:val="18"/>
          <w:szCs w:val="18"/>
          <w:lang w:val="en-US"/>
        </w:rPr>
        <w:t>2014)</w:t>
      </w:r>
    </w:p>
  </w:footnote>
  <w:footnote w:id="10">
    <w:p w14:paraId="2A3F1CC0" w14:textId="1B4BB02B" w:rsidR="00C810FE" w:rsidRPr="00E105B9" w:rsidRDefault="00C810FE">
      <w:pPr>
        <w:pStyle w:val="FootnoteText"/>
        <w:rPr>
          <w:sz w:val="18"/>
          <w:szCs w:val="18"/>
          <w:lang w:val="en-US"/>
        </w:rPr>
      </w:pPr>
      <w:r>
        <w:rPr>
          <w:rStyle w:val="FootnoteReference"/>
        </w:rPr>
        <w:footnoteRef/>
      </w:r>
      <w:r>
        <w:t xml:space="preserve"> </w:t>
      </w:r>
      <w:r w:rsidR="000E5578" w:rsidRPr="00E105B9">
        <w:rPr>
          <w:sz w:val="18"/>
          <w:szCs w:val="18"/>
        </w:rPr>
        <w:t xml:space="preserve">For the Istanbul Declaration, see </w:t>
      </w:r>
      <w:hyperlink r:id="rId2" w:history="1">
        <w:r w:rsidR="000E5578" w:rsidRPr="00E105B9">
          <w:rPr>
            <w:rStyle w:val="Hyperlink"/>
            <w:sz w:val="18"/>
            <w:szCs w:val="18"/>
          </w:rPr>
          <w:t>http://www.oecd.org/site/worldforum06/istanbulworldforum-measuringandfosteringtheprogressofsocieties.htm</w:t>
        </w:r>
      </w:hyperlink>
      <w:r w:rsidR="000E5578" w:rsidRPr="00E105B9">
        <w:rPr>
          <w:sz w:val="18"/>
          <w:szCs w:val="18"/>
        </w:rPr>
        <w:t>; and see generally Stiglitz</w:t>
      </w:r>
      <w:r w:rsidR="000E7910">
        <w:rPr>
          <w:sz w:val="18"/>
          <w:szCs w:val="18"/>
        </w:rPr>
        <w:t xml:space="preserve"> et al</w:t>
      </w:r>
      <w:r w:rsidR="000E5578" w:rsidRPr="00E105B9">
        <w:rPr>
          <w:sz w:val="18"/>
          <w:szCs w:val="18"/>
        </w:rPr>
        <w:t xml:space="preserve"> </w:t>
      </w:r>
      <w:r w:rsidR="000E7910">
        <w:rPr>
          <w:sz w:val="18"/>
          <w:szCs w:val="18"/>
        </w:rPr>
        <w:t>(2008);</w:t>
      </w:r>
      <w:r w:rsidR="000E5578" w:rsidRPr="00E105B9">
        <w:rPr>
          <w:sz w:val="18"/>
          <w:szCs w:val="18"/>
        </w:rPr>
        <w:t xml:space="preserve"> Salvaris (2013). </w:t>
      </w:r>
    </w:p>
  </w:footnote>
  <w:footnote w:id="11">
    <w:p w14:paraId="5A40C28C" w14:textId="41B221E9" w:rsidR="00A413CB" w:rsidRPr="00E105B9" w:rsidRDefault="00C810FE" w:rsidP="00E105B9">
      <w:pPr>
        <w:spacing w:after="0" w:line="240" w:lineRule="auto"/>
        <w:outlineLvl w:val="0"/>
        <w:rPr>
          <w:rFonts w:eastAsia="Times New Roman" w:cstheme="minorHAnsi"/>
          <w:bCs/>
          <w:kern w:val="36"/>
          <w:sz w:val="18"/>
          <w:szCs w:val="18"/>
          <w:lang w:val="en"/>
        </w:rPr>
      </w:pPr>
      <w:r>
        <w:rPr>
          <w:rStyle w:val="FootnoteReference"/>
        </w:rPr>
        <w:footnoteRef/>
      </w:r>
      <w:r>
        <w:t xml:space="preserve"> </w:t>
      </w:r>
      <w:r w:rsidRPr="00E105B9">
        <w:rPr>
          <w:sz w:val="18"/>
          <w:szCs w:val="18"/>
        </w:rPr>
        <w:t xml:space="preserve">The Economist Democracy Index 2017 in </w:t>
      </w:r>
      <w:r w:rsidR="00A413CB" w:rsidRPr="00E105B9">
        <w:rPr>
          <w:sz w:val="18"/>
          <w:szCs w:val="18"/>
        </w:rPr>
        <w:t>an</w:t>
      </w:r>
      <w:r w:rsidRPr="00E105B9">
        <w:rPr>
          <w:sz w:val="18"/>
          <w:szCs w:val="18"/>
        </w:rPr>
        <w:t xml:space="preserve"> article headed ‘The democracy recession’ highlighted a ‘broad based deterioration’ in many established democracies in recent years. These included: ‘declining popular participation in elections and politics; weaknesses in the functioning of government; declining trust in institutions; dwindling appeal of mainstream representative parties; the growing influence of unelected, unaccountable institutions and expert bodies; a widening gap between political elites and electorates; a decline in media freedoms; and the erosion of civil liberties, including curbs on free speech’. All of these problems hav</w:t>
      </w:r>
      <w:r w:rsidR="00E105B9">
        <w:rPr>
          <w:sz w:val="18"/>
          <w:szCs w:val="18"/>
        </w:rPr>
        <w:t xml:space="preserve">e been identified in Australia: </w:t>
      </w:r>
      <w:r w:rsidRPr="00E105B9">
        <w:rPr>
          <w:sz w:val="18"/>
          <w:szCs w:val="18"/>
        </w:rPr>
        <w:t>see</w:t>
      </w:r>
      <w:r w:rsidR="005B4E2A">
        <w:rPr>
          <w:sz w:val="18"/>
          <w:szCs w:val="18"/>
        </w:rPr>
        <w:t>,</w:t>
      </w:r>
      <w:r w:rsidRPr="00E105B9">
        <w:rPr>
          <w:sz w:val="18"/>
          <w:szCs w:val="18"/>
        </w:rPr>
        <w:t xml:space="preserve"> for example </w:t>
      </w:r>
      <w:r w:rsidRPr="00E105B9">
        <w:rPr>
          <w:rFonts w:eastAsiaTheme="minorEastAsia" w:cs="Arial"/>
          <w:color w:val="000000" w:themeColor="text1"/>
          <w:sz w:val="18"/>
          <w:szCs w:val="18"/>
          <w:lang w:val="en-US" w:eastAsia="ja-JP"/>
        </w:rPr>
        <w:t xml:space="preserve">(1) </w:t>
      </w:r>
      <w:hyperlink r:id="rId3" w:history="1">
        <w:r w:rsidRPr="00E105B9">
          <w:rPr>
            <w:rStyle w:val="Hyperlink"/>
            <w:rFonts w:eastAsiaTheme="minorEastAsia" w:cs="Arial"/>
            <w:sz w:val="18"/>
            <w:szCs w:val="18"/>
            <w:lang w:val="en-US" w:eastAsia="ja-JP"/>
          </w:rPr>
          <w:t>http://www.abc.net.au/news/2014-08-11/poll-data-reveals-waning-interest-in-politics/5662568</w:t>
        </w:r>
      </w:hyperlink>
      <w:r w:rsidR="00A413CB" w:rsidRPr="00E105B9">
        <w:rPr>
          <w:rFonts w:eastAsiaTheme="minorEastAsia" w:cs="Arial"/>
          <w:color w:val="0E0E0E"/>
          <w:sz w:val="18"/>
          <w:szCs w:val="18"/>
          <w:lang w:val="en-US" w:eastAsia="ja-JP"/>
        </w:rPr>
        <w:t xml:space="preserve"> </w:t>
      </w:r>
      <w:r w:rsidRPr="00E105B9">
        <w:rPr>
          <w:rFonts w:eastAsiaTheme="minorEastAsia" w:cs="Arial"/>
          <w:color w:val="0E0E0E"/>
          <w:sz w:val="18"/>
          <w:szCs w:val="18"/>
          <w:lang w:val="en-US" w:eastAsia="ja-JP"/>
        </w:rPr>
        <w:t xml:space="preserve">(reporting recent ANU and other research findings) (2) </w:t>
      </w:r>
      <w:r w:rsidRPr="00E105B9">
        <w:rPr>
          <w:sz w:val="18"/>
          <w:szCs w:val="18"/>
        </w:rPr>
        <w:t>the Scanlon Foundation-Monash University</w:t>
      </w:r>
      <w:r w:rsidR="00A413CB" w:rsidRPr="00E105B9">
        <w:rPr>
          <w:sz w:val="18"/>
          <w:szCs w:val="18"/>
        </w:rPr>
        <w:t xml:space="preserve">, </w:t>
      </w:r>
      <w:r w:rsidR="00141855">
        <w:rPr>
          <w:i/>
          <w:sz w:val="18"/>
          <w:szCs w:val="18"/>
        </w:rPr>
        <w:t>Social Cohesion Report</w:t>
      </w:r>
      <w:r w:rsidR="00A413CB" w:rsidRPr="00141855">
        <w:rPr>
          <w:i/>
          <w:sz w:val="18"/>
          <w:szCs w:val="18"/>
        </w:rPr>
        <w:t xml:space="preserve"> 2017</w:t>
      </w:r>
      <w:r w:rsidR="00A413CB" w:rsidRPr="00E105B9">
        <w:rPr>
          <w:sz w:val="18"/>
          <w:szCs w:val="18"/>
        </w:rPr>
        <w:t xml:space="preserve"> </w:t>
      </w:r>
      <w:r w:rsidRPr="00E105B9">
        <w:rPr>
          <w:sz w:val="18"/>
          <w:szCs w:val="18"/>
        </w:rPr>
        <w:t xml:space="preserve">(reporting declining levels of trust in political parties, government and even democracy itself, most worryingly amongst young Australians); (3) </w:t>
      </w:r>
      <w:r w:rsidR="00A413CB" w:rsidRPr="00E105B9">
        <w:rPr>
          <w:sz w:val="18"/>
          <w:szCs w:val="18"/>
        </w:rPr>
        <w:t xml:space="preserve">The Guardian </w:t>
      </w:r>
      <w:r w:rsidR="00141855">
        <w:rPr>
          <w:sz w:val="18"/>
          <w:szCs w:val="18"/>
        </w:rPr>
        <w:t>(</w:t>
      </w:r>
      <w:r w:rsidR="00A413CB" w:rsidRPr="00E105B9">
        <w:rPr>
          <w:sz w:val="18"/>
          <w:szCs w:val="18"/>
        </w:rPr>
        <w:t>2017</w:t>
      </w:r>
      <w:r w:rsidR="00141855">
        <w:rPr>
          <w:sz w:val="18"/>
          <w:szCs w:val="18"/>
        </w:rPr>
        <w:t>)</w:t>
      </w:r>
      <w:r w:rsidR="00A413CB" w:rsidRPr="00E105B9">
        <w:rPr>
          <w:sz w:val="18"/>
          <w:szCs w:val="18"/>
        </w:rPr>
        <w:t xml:space="preserve">, </w:t>
      </w:r>
      <w:r w:rsidRPr="00E105B9">
        <w:rPr>
          <w:sz w:val="18"/>
          <w:szCs w:val="18"/>
        </w:rPr>
        <w:t>‘</w:t>
      </w:r>
      <w:r w:rsidRPr="00E105B9">
        <w:rPr>
          <w:rFonts w:eastAsia="Times New Roman" w:cstheme="minorHAnsi"/>
          <w:bCs/>
          <w:kern w:val="36"/>
          <w:sz w:val="18"/>
          <w:szCs w:val="18"/>
          <w:lang w:val="en"/>
        </w:rPr>
        <w:t>IMF says Australia has one of the fastest rising income</w:t>
      </w:r>
      <w:r w:rsidRPr="00E623C2">
        <w:rPr>
          <w:rFonts w:eastAsia="Times New Roman" w:cstheme="minorHAnsi"/>
          <w:bCs/>
          <w:kern w:val="36"/>
          <w:sz w:val="20"/>
          <w:szCs w:val="20"/>
          <w:lang w:val="en"/>
        </w:rPr>
        <w:t xml:space="preserve"> i</w:t>
      </w:r>
      <w:r w:rsidRPr="00E105B9">
        <w:rPr>
          <w:rFonts w:eastAsia="Times New Roman" w:cstheme="minorHAnsi"/>
          <w:bCs/>
          <w:kern w:val="36"/>
          <w:sz w:val="18"/>
          <w:szCs w:val="18"/>
          <w:lang w:val="en"/>
        </w:rPr>
        <w:t xml:space="preserve">nequality rates’ </w:t>
      </w:r>
      <w:hyperlink r:id="rId4" w:history="1">
        <w:r w:rsidRPr="00E105B9">
          <w:rPr>
            <w:rStyle w:val="Hyperlink"/>
            <w:rFonts w:eastAsia="Times New Roman" w:cstheme="minorHAnsi"/>
            <w:sz w:val="18"/>
            <w:szCs w:val="18"/>
            <w:lang w:val="en"/>
          </w:rPr>
          <w:t>https://www.theguardian.com/business/2017/oct/12/imf-says-australia-has-one-of-the-fastest-rising-income-inequality-rates</w:t>
        </w:r>
      </w:hyperlink>
      <w:r w:rsidRPr="00E105B9">
        <w:rPr>
          <w:rFonts w:eastAsia="Times New Roman" w:cstheme="minorHAnsi"/>
          <w:sz w:val="18"/>
          <w:szCs w:val="18"/>
          <w:lang w:val="en"/>
        </w:rPr>
        <w:t xml:space="preserve"> </w:t>
      </w:r>
    </w:p>
  </w:footnote>
  <w:footnote w:id="12">
    <w:p w14:paraId="34B72A02" w14:textId="3DB3ACCA" w:rsidR="00C810FE" w:rsidRPr="00E105B9" w:rsidRDefault="00C810FE">
      <w:pPr>
        <w:pStyle w:val="FootnoteText"/>
        <w:rPr>
          <w:sz w:val="18"/>
          <w:szCs w:val="18"/>
          <w:lang w:val="en-US"/>
        </w:rPr>
      </w:pPr>
      <w:r w:rsidRPr="00E105B9">
        <w:rPr>
          <w:rStyle w:val="FootnoteReference"/>
          <w:sz w:val="18"/>
          <w:szCs w:val="18"/>
        </w:rPr>
        <w:footnoteRef/>
      </w:r>
      <w:r w:rsidRPr="00E105B9">
        <w:rPr>
          <w:sz w:val="18"/>
          <w:szCs w:val="18"/>
        </w:rPr>
        <w:t xml:space="preserve"> </w:t>
      </w:r>
      <w:r w:rsidR="00E105B9">
        <w:rPr>
          <w:sz w:val="18"/>
          <w:szCs w:val="18"/>
        </w:rPr>
        <w:t xml:space="preserve">3rd OECD World Forum </w:t>
      </w:r>
      <w:r w:rsidRPr="00E105B9">
        <w:rPr>
          <w:sz w:val="18"/>
          <w:szCs w:val="18"/>
        </w:rPr>
        <w:t>on Statistics, Knowledge and Policy ‘Charting Progress, Building Visions, Improving Life’, Busan, South Korea, 27-30 October 2009</w:t>
      </w:r>
    </w:p>
  </w:footnote>
  <w:footnote w:id="13">
    <w:p w14:paraId="50B7A2E8" w14:textId="1E04BD96" w:rsidR="00C810FE" w:rsidRPr="00C83990" w:rsidRDefault="00C810FE" w:rsidP="00A413CB">
      <w:pPr>
        <w:spacing w:after="0"/>
        <w:rPr>
          <w:lang w:val="en-US"/>
        </w:rPr>
      </w:pPr>
      <w:r w:rsidRPr="00E105B9">
        <w:rPr>
          <w:rStyle w:val="FootnoteReference"/>
          <w:sz w:val="18"/>
          <w:szCs w:val="18"/>
        </w:rPr>
        <w:footnoteRef/>
      </w:r>
      <w:r>
        <w:t xml:space="preserve"> </w:t>
      </w:r>
      <w:r w:rsidRPr="00E105B9">
        <w:rPr>
          <w:sz w:val="18"/>
          <w:szCs w:val="18"/>
        </w:rPr>
        <w:t>European Economic and Social Committee on GDP and Beyond, EU, 2012, p 3</w:t>
      </w:r>
    </w:p>
  </w:footnote>
  <w:footnote w:id="14">
    <w:p w14:paraId="2485674B" w14:textId="02B7BFC4" w:rsidR="00C810FE" w:rsidRPr="00335A40" w:rsidRDefault="00C810FE">
      <w:pPr>
        <w:pStyle w:val="FootnoteText"/>
        <w:rPr>
          <w:lang w:val="en-US"/>
        </w:rPr>
      </w:pPr>
      <w:r>
        <w:rPr>
          <w:rStyle w:val="FootnoteReference"/>
        </w:rPr>
        <w:footnoteRef/>
      </w:r>
      <w:r>
        <w:t xml:space="preserve"> </w:t>
      </w:r>
      <w:r w:rsidRPr="00E105B9">
        <w:rPr>
          <w:sz w:val="18"/>
          <w:szCs w:val="18"/>
          <w:lang w:val="en-US"/>
        </w:rPr>
        <w:t>Appendi</w:t>
      </w:r>
      <w:r w:rsidR="00E105B9">
        <w:rPr>
          <w:sz w:val="18"/>
          <w:szCs w:val="18"/>
          <w:lang w:val="en-US"/>
        </w:rPr>
        <w:t>ces A and B set</w:t>
      </w:r>
      <w:r w:rsidRPr="00E105B9">
        <w:rPr>
          <w:sz w:val="18"/>
          <w:szCs w:val="18"/>
          <w:lang w:val="en-US"/>
        </w:rPr>
        <w:t xml:space="preserve"> out two prominent models illustrating (1) the broader roles that citizens</w:t>
      </w:r>
      <w:r>
        <w:rPr>
          <w:lang w:val="en-US"/>
        </w:rPr>
        <w:t xml:space="preserve"> </w:t>
      </w:r>
      <w:r w:rsidRPr="00E105B9">
        <w:rPr>
          <w:sz w:val="18"/>
          <w:szCs w:val="18"/>
          <w:lang w:val="en-US"/>
        </w:rPr>
        <w:t>can play in a well-governed democracy and (2) the potential for extending government-community collaboration.</w:t>
      </w:r>
      <w:r w:rsidR="00C05291" w:rsidRPr="00E105B9" w:rsidDel="00C05291">
        <w:rPr>
          <w:sz w:val="18"/>
          <w:szCs w:val="18"/>
          <w:lang w:val="en-US"/>
        </w:rPr>
        <w:t xml:space="preserve"> </w:t>
      </w:r>
    </w:p>
  </w:footnote>
  <w:footnote w:id="15">
    <w:p w14:paraId="42594F8C" w14:textId="32A93336" w:rsidR="00C05291" w:rsidRPr="00220DB9" w:rsidRDefault="00C05291">
      <w:pPr>
        <w:pStyle w:val="FootnoteText"/>
        <w:rPr>
          <w:lang w:val="en-US"/>
        </w:rPr>
      </w:pPr>
      <w:r>
        <w:rPr>
          <w:rStyle w:val="FootnoteReference"/>
        </w:rPr>
        <w:footnoteRef/>
      </w:r>
      <w:r>
        <w:t xml:space="preserve"> </w:t>
      </w:r>
      <w:r>
        <w:rPr>
          <w:lang w:val="en-US"/>
        </w:rPr>
        <w:t xml:space="preserve">See: </w:t>
      </w:r>
      <w:hyperlink r:id="rId5" w:history="1">
        <w:r w:rsidRPr="00220DB9">
          <w:rPr>
            <w:rStyle w:val="Hyperlink"/>
            <w:rFonts w:cstheme="minorHAnsi"/>
            <w:sz w:val="18"/>
            <w:szCs w:val="18"/>
            <w:shd w:val="clear" w:color="auto" w:fill="FFFFFF"/>
          </w:rPr>
          <w:t>www.aigi.com.au/wp.../07/Communique-Indigenous-Data-Sovereignty-Summit.pdf</w:t>
        </w:r>
      </w:hyperlink>
      <w:r>
        <w:rPr>
          <w:rFonts w:ascii="Arial" w:hAnsi="Arial" w:cs="Arial"/>
          <w:color w:val="180363"/>
          <w:sz w:val="21"/>
          <w:szCs w:val="21"/>
          <w:shd w:val="clear" w:color="auto" w:fill="FFFFFF"/>
        </w:rPr>
        <w:t xml:space="preserve"> </w:t>
      </w:r>
    </w:p>
  </w:footnote>
  <w:footnote w:id="16">
    <w:p w14:paraId="06F46EF7" w14:textId="38378AC4" w:rsidR="00C810FE" w:rsidRPr="00EE5A15" w:rsidRDefault="00C810FE">
      <w:pPr>
        <w:pStyle w:val="FootnoteText"/>
        <w:rPr>
          <w:lang w:val="en-US"/>
        </w:rPr>
      </w:pPr>
      <w:r>
        <w:rPr>
          <w:rStyle w:val="FootnoteReference"/>
        </w:rPr>
        <w:footnoteRef/>
      </w:r>
      <w:r>
        <w:t xml:space="preserve"> </w:t>
      </w:r>
      <w:hyperlink r:id="rId6" w:history="1">
        <w:r w:rsidR="00654EAC" w:rsidRPr="00B250EF">
          <w:rPr>
            <w:rStyle w:val="Hyperlink"/>
            <w:sz w:val="18"/>
            <w:szCs w:val="18"/>
            <w:lang w:val="en-US"/>
          </w:rPr>
          <w:t>www.ciw.ca</w:t>
        </w:r>
      </w:hyperlink>
      <w:r w:rsidR="00654EAC">
        <w:rPr>
          <w:lang w:val="en-US"/>
        </w:rPr>
        <w:t xml:space="preserve"> </w:t>
      </w:r>
    </w:p>
  </w:footnote>
  <w:footnote w:id="17">
    <w:p w14:paraId="12AB46E0" w14:textId="60C6393E" w:rsidR="00C810FE" w:rsidRPr="00EE5A15" w:rsidRDefault="00C810FE">
      <w:pPr>
        <w:pStyle w:val="FootnoteText"/>
        <w:rPr>
          <w:lang w:val="en-US"/>
        </w:rPr>
      </w:pPr>
      <w:r>
        <w:rPr>
          <w:rStyle w:val="FootnoteReference"/>
        </w:rPr>
        <w:footnoteRef/>
      </w:r>
      <w:r>
        <w:t xml:space="preserve"> </w:t>
      </w:r>
      <w:hyperlink r:id="rId7" w:history="1">
        <w:r w:rsidRPr="00B250EF">
          <w:rPr>
            <w:rStyle w:val="Hyperlink"/>
            <w:sz w:val="18"/>
            <w:szCs w:val="18"/>
          </w:rPr>
          <w:t>http://www.cynnalcymru.com/project/the-wales-we-want/</w:t>
        </w:r>
      </w:hyperlink>
      <w:r>
        <w:t xml:space="preserve"> </w:t>
      </w:r>
    </w:p>
  </w:footnote>
  <w:footnote w:id="18">
    <w:p w14:paraId="12E59705" w14:textId="73E1A2A5" w:rsidR="00654EAC" w:rsidRPr="00654EAC" w:rsidRDefault="00654EAC" w:rsidP="00654EAC">
      <w:pPr>
        <w:pStyle w:val="FootnoteText"/>
      </w:pPr>
      <w:r>
        <w:rPr>
          <w:rStyle w:val="FootnoteReference"/>
        </w:rPr>
        <w:footnoteRef/>
      </w:r>
      <w:r>
        <w:t xml:space="preserve"> </w:t>
      </w:r>
      <w:hyperlink r:id="rId8" w:history="1">
        <w:r w:rsidRPr="00B312C9">
          <w:rPr>
            <w:rStyle w:val="Hyperlink"/>
            <w:sz w:val="18"/>
            <w:szCs w:val="18"/>
          </w:rPr>
          <w:t>www.myworld2015/org</w:t>
        </w:r>
      </w:hyperlink>
      <w:r>
        <w:t xml:space="preserve"> </w:t>
      </w:r>
    </w:p>
    <w:p w14:paraId="350BDE70" w14:textId="66E5EC2D" w:rsidR="00654EAC" w:rsidRDefault="00654EAC">
      <w:pPr>
        <w:pStyle w:val="FootnoteText"/>
      </w:pPr>
    </w:p>
  </w:footnote>
  <w:footnote w:id="19">
    <w:p w14:paraId="60875C48" w14:textId="49446E03" w:rsidR="0026394B" w:rsidRDefault="0026394B">
      <w:pPr>
        <w:pStyle w:val="FootnoteText"/>
      </w:pPr>
      <w:r>
        <w:rPr>
          <w:rStyle w:val="FootnoteReference"/>
        </w:rPr>
        <w:footnoteRef/>
      </w:r>
      <w:r>
        <w:t xml:space="preserve"> </w:t>
      </w:r>
      <w:r w:rsidRPr="0026394B">
        <w:rPr>
          <w:sz w:val="18"/>
          <w:szCs w:val="18"/>
        </w:rPr>
        <w:t>In the longer term, one possibility may be the development of an international system of ‘Social Accounts’ ‘equivalent to the influential UN System of National (Economic) Accounts (SNA), which provides the chief auspice for the GDP</w:t>
      </w:r>
      <w:r>
        <w:rPr>
          <w:sz w:val="18"/>
          <w:szCs w:val="18"/>
        </w:rPr>
        <w:t>.</w:t>
      </w:r>
    </w:p>
  </w:footnote>
  <w:footnote w:id="20">
    <w:p w14:paraId="3B3C81E4" w14:textId="260A125F" w:rsidR="009B1E41" w:rsidRDefault="009B1E41">
      <w:pPr>
        <w:pStyle w:val="FootnoteText"/>
      </w:pPr>
      <w:r>
        <w:rPr>
          <w:rStyle w:val="FootnoteReference"/>
        </w:rPr>
        <w:footnoteRef/>
      </w:r>
      <w:r>
        <w:t xml:space="preserve"> </w:t>
      </w:r>
      <w:r w:rsidR="00C658B5" w:rsidRPr="00B250EF">
        <w:rPr>
          <w:sz w:val="18"/>
          <w:szCs w:val="18"/>
        </w:rPr>
        <w:t>Note that a related submission on data linkage has been put to the Inquiry by Profs Fiona Stanley and David Henry, which also referred to the ANDI project (Prof Stanley is associated with both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559851"/>
      <w:docPartObj>
        <w:docPartGallery w:val="Page Numbers (Top of Page)"/>
        <w:docPartUnique/>
      </w:docPartObj>
    </w:sdtPr>
    <w:sdtEndPr>
      <w:rPr>
        <w:noProof/>
      </w:rPr>
    </w:sdtEndPr>
    <w:sdtContent>
      <w:p w14:paraId="72AA6105" w14:textId="74ED2454" w:rsidR="00C810FE" w:rsidRDefault="00C810FE">
        <w:pPr>
          <w:pStyle w:val="Header"/>
          <w:jc w:val="center"/>
        </w:pPr>
        <w:r>
          <w:fldChar w:fldCharType="begin"/>
        </w:r>
        <w:r>
          <w:instrText xml:space="preserve"> PAGE   \* MERGEFORMAT </w:instrText>
        </w:r>
        <w:r>
          <w:fldChar w:fldCharType="separate"/>
        </w:r>
        <w:r w:rsidR="009D474A">
          <w:rPr>
            <w:noProof/>
          </w:rPr>
          <w:t>10</w:t>
        </w:r>
        <w:r>
          <w:rPr>
            <w:noProof/>
          </w:rPr>
          <w:fldChar w:fldCharType="end"/>
        </w:r>
      </w:p>
    </w:sdtContent>
  </w:sdt>
  <w:p w14:paraId="17ADE286" w14:textId="77777777" w:rsidR="00C810FE" w:rsidRDefault="00C8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98A"/>
    <w:multiLevelType w:val="hybridMultilevel"/>
    <w:tmpl w:val="8FE48FC4"/>
    <w:lvl w:ilvl="0" w:tplc="817022EE">
      <w:start w:val="1"/>
      <w:numFmt w:val="decimal"/>
      <w:lvlText w:val="%1."/>
      <w:lvlJc w:val="left"/>
      <w:pPr>
        <w:ind w:left="1080" w:hanging="51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245896"/>
    <w:multiLevelType w:val="multilevel"/>
    <w:tmpl w:val="89B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12F49"/>
    <w:multiLevelType w:val="hybridMultilevel"/>
    <w:tmpl w:val="8CAA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973B3"/>
    <w:multiLevelType w:val="hybridMultilevel"/>
    <w:tmpl w:val="C44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78F"/>
    <w:multiLevelType w:val="hybridMultilevel"/>
    <w:tmpl w:val="C376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948D6"/>
    <w:multiLevelType w:val="hybridMultilevel"/>
    <w:tmpl w:val="3E386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B86724"/>
    <w:multiLevelType w:val="hybridMultilevel"/>
    <w:tmpl w:val="45649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57F92"/>
    <w:multiLevelType w:val="hybridMultilevel"/>
    <w:tmpl w:val="A9FC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58B2"/>
    <w:multiLevelType w:val="hybridMultilevel"/>
    <w:tmpl w:val="FCC0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76771"/>
    <w:multiLevelType w:val="hybridMultilevel"/>
    <w:tmpl w:val="5F7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03EA4"/>
    <w:multiLevelType w:val="hybridMultilevel"/>
    <w:tmpl w:val="CA06B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44BD3"/>
    <w:multiLevelType w:val="hybridMultilevel"/>
    <w:tmpl w:val="4E62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A7133"/>
    <w:multiLevelType w:val="hybridMultilevel"/>
    <w:tmpl w:val="E4C8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218D1"/>
    <w:multiLevelType w:val="hybridMultilevel"/>
    <w:tmpl w:val="90F4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4056B"/>
    <w:multiLevelType w:val="hybridMultilevel"/>
    <w:tmpl w:val="143A72A4"/>
    <w:lvl w:ilvl="0" w:tplc="5436205A">
      <w:start w:val="1"/>
      <w:numFmt w:val="bullet"/>
      <w:lvlText w:val=""/>
      <w:lvlJc w:val="left"/>
      <w:pPr>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3836B6"/>
    <w:multiLevelType w:val="hybridMultilevel"/>
    <w:tmpl w:val="641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A3E34"/>
    <w:multiLevelType w:val="hybridMultilevel"/>
    <w:tmpl w:val="146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90F70"/>
    <w:multiLevelType w:val="hybridMultilevel"/>
    <w:tmpl w:val="F64A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40A89"/>
    <w:multiLevelType w:val="singleLevel"/>
    <w:tmpl w:val="C136B048"/>
    <w:lvl w:ilvl="0">
      <w:start w:val="1"/>
      <w:numFmt w:val="bullet"/>
      <w:pStyle w:val="Listbullet1"/>
      <w:lvlText w:val=""/>
      <w:lvlJc w:val="left"/>
      <w:pPr>
        <w:tabs>
          <w:tab w:val="num" w:pos="360"/>
        </w:tabs>
        <w:ind w:left="340" w:hanging="340"/>
      </w:pPr>
      <w:rPr>
        <w:rFonts w:ascii="Symbol" w:hAnsi="Symbol" w:hint="default"/>
      </w:rPr>
    </w:lvl>
  </w:abstractNum>
  <w:abstractNum w:abstractNumId="19" w15:restartNumberingAfterBreak="0">
    <w:nsid w:val="5CC81B8C"/>
    <w:multiLevelType w:val="hybridMultilevel"/>
    <w:tmpl w:val="CA06B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D86842"/>
    <w:multiLevelType w:val="hybridMultilevel"/>
    <w:tmpl w:val="EB560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709FC"/>
    <w:multiLevelType w:val="hybridMultilevel"/>
    <w:tmpl w:val="603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F2D97"/>
    <w:multiLevelType w:val="hybridMultilevel"/>
    <w:tmpl w:val="89B6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50FFF"/>
    <w:multiLevelType w:val="hybridMultilevel"/>
    <w:tmpl w:val="BB88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913EC"/>
    <w:multiLevelType w:val="hybridMultilevel"/>
    <w:tmpl w:val="00C4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E2466"/>
    <w:multiLevelType w:val="hybridMultilevel"/>
    <w:tmpl w:val="501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F4D95"/>
    <w:multiLevelType w:val="hybridMultilevel"/>
    <w:tmpl w:val="24FC5BFA"/>
    <w:lvl w:ilvl="0" w:tplc="0C09000F">
      <w:start w:val="1"/>
      <w:numFmt w:val="decimal"/>
      <w:lvlText w:val="%1."/>
      <w:lvlJc w:val="left"/>
      <w:pPr>
        <w:ind w:left="6" w:hanging="360"/>
      </w:pPr>
      <w:rPr>
        <w:rFonts w:hint="default"/>
      </w:rPr>
    </w:lvl>
    <w:lvl w:ilvl="1" w:tplc="0C090019">
      <w:start w:val="1"/>
      <w:numFmt w:val="lowerLetter"/>
      <w:lvlText w:val="%2."/>
      <w:lvlJc w:val="left"/>
      <w:pPr>
        <w:ind w:left="726" w:hanging="360"/>
      </w:pPr>
    </w:lvl>
    <w:lvl w:ilvl="2" w:tplc="04090001">
      <w:start w:val="1"/>
      <w:numFmt w:val="bullet"/>
      <w:lvlText w:val=""/>
      <w:lvlJc w:val="left"/>
      <w:pPr>
        <w:ind w:left="720" w:hanging="360"/>
      </w:pPr>
      <w:rPr>
        <w:rFonts w:ascii="Symbol" w:hAnsi="Symbol" w:hint="default"/>
      </w:rPr>
    </w:lvl>
    <w:lvl w:ilvl="3" w:tplc="0C09000F">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7" w15:restartNumberingAfterBreak="0">
    <w:nsid w:val="7DEF18A2"/>
    <w:multiLevelType w:val="hybridMultilevel"/>
    <w:tmpl w:val="672216E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8" w15:restartNumberingAfterBreak="0">
    <w:nsid w:val="7E513223"/>
    <w:multiLevelType w:val="hybridMultilevel"/>
    <w:tmpl w:val="26387DFE"/>
    <w:lvl w:ilvl="0" w:tplc="6B4811F6">
      <w:start w:val="1"/>
      <w:numFmt w:val="decimal"/>
      <w:lvlText w:val="%1."/>
      <w:lvlJc w:val="left"/>
      <w:pPr>
        <w:tabs>
          <w:tab w:val="num" w:pos="774"/>
        </w:tabs>
        <w:ind w:left="774" w:hanging="774"/>
      </w:pPr>
      <w:rPr>
        <w:rFonts w:hint="default"/>
      </w:rPr>
    </w:lvl>
    <w:lvl w:ilvl="1" w:tplc="0C090019" w:tentative="1">
      <w:start w:val="1"/>
      <w:numFmt w:val="lowerLetter"/>
      <w:lvlText w:val="%2."/>
      <w:lvlJc w:val="left"/>
      <w:pPr>
        <w:tabs>
          <w:tab w:val="num" w:pos="600"/>
        </w:tabs>
        <w:ind w:left="600" w:hanging="360"/>
      </w:pPr>
    </w:lvl>
    <w:lvl w:ilvl="2" w:tplc="0C09001B" w:tentative="1">
      <w:start w:val="1"/>
      <w:numFmt w:val="lowerRoman"/>
      <w:lvlText w:val="%3."/>
      <w:lvlJc w:val="right"/>
      <w:pPr>
        <w:tabs>
          <w:tab w:val="num" w:pos="1320"/>
        </w:tabs>
        <w:ind w:left="1320" w:hanging="180"/>
      </w:pPr>
    </w:lvl>
    <w:lvl w:ilvl="3" w:tplc="0C09000F" w:tentative="1">
      <w:start w:val="1"/>
      <w:numFmt w:val="decimal"/>
      <w:lvlText w:val="%4."/>
      <w:lvlJc w:val="left"/>
      <w:pPr>
        <w:tabs>
          <w:tab w:val="num" w:pos="2040"/>
        </w:tabs>
        <w:ind w:left="2040" w:hanging="360"/>
      </w:pPr>
    </w:lvl>
    <w:lvl w:ilvl="4" w:tplc="0C090019" w:tentative="1">
      <w:start w:val="1"/>
      <w:numFmt w:val="lowerLetter"/>
      <w:lvlText w:val="%5."/>
      <w:lvlJc w:val="left"/>
      <w:pPr>
        <w:tabs>
          <w:tab w:val="num" w:pos="2760"/>
        </w:tabs>
        <w:ind w:left="2760" w:hanging="360"/>
      </w:pPr>
    </w:lvl>
    <w:lvl w:ilvl="5" w:tplc="0C09001B" w:tentative="1">
      <w:start w:val="1"/>
      <w:numFmt w:val="lowerRoman"/>
      <w:lvlText w:val="%6."/>
      <w:lvlJc w:val="right"/>
      <w:pPr>
        <w:tabs>
          <w:tab w:val="num" w:pos="3480"/>
        </w:tabs>
        <w:ind w:left="3480" w:hanging="180"/>
      </w:pPr>
    </w:lvl>
    <w:lvl w:ilvl="6" w:tplc="0C09000F" w:tentative="1">
      <w:start w:val="1"/>
      <w:numFmt w:val="decimal"/>
      <w:lvlText w:val="%7."/>
      <w:lvlJc w:val="left"/>
      <w:pPr>
        <w:tabs>
          <w:tab w:val="num" w:pos="4200"/>
        </w:tabs>
        <w:ind w:left="4200" w:hanging="360"/>
      </w:pPr>
    </w:lvl>
    <w:lvl w:ilvl="7" w:tplc="0C090019" w:tentative="1">
      <w:start w:val="1"/>
      <w:numFmt w:val="lowerLetter"/>
      <w:lvlText w:val="%8."/>
      <w:lvlJc w:val="left"/>
      <w:pPr>
        <w:tabs>
          <w:tab w:val="num" w:pos="4920"/>
        </w:tabs>
        <w:ind w:left="4920" w:hanging="360"/>
      </w:pPr>
    </w:lvl>
    <w:lvl w:ilvl="8" w:tplc="0C09001B" w:tentative="1">
      <w:start w:val="1"/>
      <w:numFmt w:val="lowerRoman"/>
      <w:lvlText w:val="%9."/>
      <w:lvlJc w:val="right"/>
      <w:pPr>
        <w:tabs>
          <w:tab w:val="num" w:pos="5640"/>
        </w:tabs>
        <w:ind w:left="5640" w:hanging="180"/>
      </w:pPr>
    </w:lvl>
  </w:abstractNum>
  <w:num w:numId="1">
    <w:abstractNumId w:val="10"/>
  </w:num>
  <w:num w:numId="2">
    <w:abstractNumId w:val="3"/>
  </w:num>
  <w:num w:numId="3">
    <w:abstractNumId w:val="13"/>
  </w:num>
  <w:num w:numId="4">
    <w:abstractNumId w:val="21"/>
  </w:num>
  <w:num w:numId="5">
    <w:abstractNumId w:val="5"/>
  </w:num>
  <w:num w:numId="6">
    <w:abstractNumId w:val="12"/>
  </w:num>
  <w:num w:numId="7">
    <w:abstractNumId w:val="22"/>
  </w:num>
  <w:num w:numId="8">
    <w:abstractNumId w:val="6"/>
  </w:num>
  <w:num w:numId="9">
    <w:abstractNumId w:val="20"/>
  </w:num>
  <w:num w:numId="10">
    <w:abstractNumId w:val="26"/>
  </w:num>
  <w:num w:numId="11">
    <w:abstractNumId w:val="18"/>
  </w:num>
  <w:num w:numId="12">
    <w:abstractNumId w:val="0"/>
  </w:num>
  <w:num w:numId="13">
    <w:abstractNumId w:val="9"/>
  </w:num>
  <w:num w:numId="14">
    <w:abstractNumId w:val="11"/>
  </w:num>
  <w:num w:numId="15">
    <w:abstractNumId w:val="7"/>
  </w:num>
  <w:num w:numId="16">
    <w:abstractNumId w:val="28"/>
  </w:num>
  <w:num w:numId="17">
    <w:abstractNumId w:val="2"/>
  </w:num>
  <w:num w:numId="18">
    <w:abstractNumId w:val="16"/>
  </w:num>
  <w:num w:numId="19">
    <w:abstractNumId w:val="27"/>
  </w:num>
  <w:num w:numId="20">
    <w:abstractNumId w:val="25"/>
  </w:num>
  <w:num w:numId="21">
    <w:abstractNumId w:val="19"/>
  </w:num>
  <w:num w:numId="22">
    <w:abstractNumId w:val="8"/>
  </w:num>
  <w:num w:numId="23">
    <w:abstractNumId w:val="23"/>
  </w:num>
  <w:num w:numId="24">
    <w:abstractNumId w:val="17"/>
  </w:num>
  <w:num w:numId="25">
    <w:abstractNumId w:val="24"/>
  </w:num>
  <w:num w:numId="26">
    <w:abstractNumId w:val="15"/>
  </w:num>
  <w:num w:numId="27">
    <w:abstractNumId w:val="14"/>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FC"/>
    <w:rsid w:val="00015429"/>
    <w:rsid w:val="00056803"/>
    <w:rsid w:val="0007059F"/>
    <w:rsid w:val="000932C8"/>
    <w:rsid w:val="000A5BA4"/>
    <w:rsid w:val="000E5578"/>
    <w:rsid w:val="000E6CB4"/>
    <w:rsid w:val="000E7910"/>
    <w:rsid w:val="0011146F"/>
    <w:rsid w:val="00116812"/>
    <w:rsid w:val="0012765F"/>
    <w:rsid w:val="00141855"/>
    <w:rsid w:val="00150131"/>
    <w:rsid w:val="00155F36"/>
    <w:rsid w:val="00160448"/>
    <w:rsid w:val="001623E6"/>
    <w:rsid w:val="00173F64"/>
    <w:rsid w:val="00181B6B"/>
    <w:rsid w:val="00181E84"/>
    <w:rsid w:val="00186E33"/>
    <w:rsid w:val="001A5320"/>
    <w:rsid w:val="001B1AF2"/>
    <w:rsid w:val="001B45E6"/>
    <w:rsid w:val="001B5B3A"/>
    <w:rsid w:val="001C50A6"/>
    <w:rsid w:val="001D1BB2"/>
    <w:rsid w:val="001E3849"/>
    <w:rsid w:val="001E39A0"/>
    <w:rsid w:val="001E66EB"/>
    <w:rsid w:val="002051C0"/>
    <w:rsid w:val="0020594A"/>
    <w:rsid w:val="00214DE3"/>
    <w:rsid w:val="00217DFD"/>
    <w:rsid w:val="00220DB9"/>
    <w:rsid w:val="00226D33"/>
    <w:rsid w:val="00226F66"/>
    <w:rsid w:val="00244E60"/>
    <w:rsid w:val="00254597"/>
    <w:rsid w:val="002630CD"/>
    <w:rsid w:val="0026394B"/>
    <w:rsid w:val="002826D9"/>
    <w:rsid w:val="00284C13"/>
    <w:rsid w:val="00287C3F"/>
    <w:rsid w:val="00293492"/>
    <w:rsid w:val="002A2C16"/>
    <w:rsid w:val="002A7EAC"/>
    <w:rsid w:val="002B0002"/>
    <w:rsid w:val="002B4E58"/>
    <w:rsid w:val="002D71F0"/>
    <w:rsid w:val="002E2462"/>
    <w:rsid w:val="002F4737"/>
    <w:rsid w:val="00320FCA"/>
    <w:rsid w:val="00335A40"/>
    <w:rsid w:val="0034578F"/>
    <w:rsid w:val="00371938"/>
    <w:rsid w:val="00372E55"/>
    <w:rsid w:val="00393256"/>
    <w:rsid w:val="0039587F"/>
    <w:rsid w:val="003D5C94"/>
    <w:rsid w:val="003D6185"/>
    <w:rsid w:val="004201DA"/>
    <w:rsid w:val="004253B3"/>
    <w:rsid w:val="004509BD"/>
    <w:rsid w:val="00466806"/>
    <w:rsid w:val="0046711B"/>
    <w:rsid w:val="004A17D3"/>
    <w:rsid w:val="004B70BC"/>
    <w:rsid w:val="004C70F5"/>
    <w:rsid w:val="004D11B2"/>
    <w:rsid w:val="004E68E3"/>
    <w:rsid w:val="004E7C9E"/>
    <w:rsid w:val="00501587"/>
    <w:rsid w:val="00516FD1"/>
    <w:rsid w:val="00523E23"/>
    <w:rsid w:val="00541D2B"/>
    <w:rsid w:val="005434C3"/>
    <w:rsid w:val="00583133"/>
    <w:rsid w:val="00591DBB"/>
    <w:rsid w:val="00596D77"/>
    <w:rsid w:val="005A1412"/>
    <w:rsid w:val="005A2E8A"/>
    <w:rsid w:val="005B4E2A"/>
    <w:rsid w:val="005B79E9"/>
    <w:rsid w:val="005D1006"/>
    <w:rsid w:val="005D168D"/>
    <w:rsid w:val="005D22C3"/>
    <w:rsid w:val="005D4652"/>
    <w:rsid w:val="005D4D6C"/>
    <w:rsid w:val="005D5058"/>
    <w:rsid w:val="005F24DB"/>
    <w:rsid w:val="0060797D"/>
    <w:rsid w:val="006112A8"/>
    <w:rsid w:val="00617540"/>
    <w:rsid w:val="00634692"/>
    <w:rsid w:val="0065264B"/>
    <w:rsid w:val="00654EAC"/>
    <w:rsid w:val="006555D0"/>
    <w:rsid w:val="00667C5C"/>
    <w:rsid w:val="00684556"/>
    <w:rsid w:val="00696919"/>
    <w:rsid w:val="006E6753"/>
    <w:rsid w:val="006F6FBB"/>
    <w:rsid w:val="0071558C"/>
    <w:rsid w:val="00747EDC"/>
    <w:rsid w:val="0078351A"/>
    <w:rsid w:val="007C093C"/>
    <w:rsid w:val="007C66F6"/>
    <w:rsid w:val="00822973"/>
    <w:rsid w:val="00824E21"/>
    <w:rsid w:val="0082714C"/>
    <w:rsid w:val="008411BD"/>
    <w:rsid w:val="00842BA9"/>
    <w:rsid w:val="00843E3A"/>
    <w:rsid w:val="00844992"/>
    <w:rsid w:val="00845D8B"/>
    <w:rsid w:val="00852907"/>
    <w:rsid w:val="00866452"/>
    <w:rsid w:val="008807D9"/>
    <w:rsid w:val="00894C95"/>
    <w:rsid w:val="00896C6C"/>
    <w:rsid w:val="008A71F3"/>
    <w:rsid w:val="008C3F01"/>
    <w:rsid w:val="008C4A8C"/>
    <w:rsid w:val="008D4431"/>
    <w:rsid w:val="008E1030"/>
    <w:rsid w:val="008E1CA3"/>
    <w:rsid w:val="008F334A"/>
    <w:rsid w:val="0091274A"/>
    <w:rsid w:val="00925A90"/>
    <w:rsid w:val="0093790B"/>
    <w:rsid w:val="009A58A5"/>
    <w:rsid w:val="009A5A5E"/>
    <w:rsid w:val="009B0FC8"/>
    <w:rsid w:val="009B1E41"/>
    <w:rsid w:val="009B61B1"/>
    <w:rsid w:val="009C64CE"/>
    <w:rsid w:val="009D474A"/>
    <w:rsid w:val="009F3586"/>
    <w:rsid w:val="00A02B38"/>
    <w:rsid w:val="00A116B9"/>
    <w:rsid w:val="00A17B30"/>
    <w:rsid w:val="00A20B59"/>
    <w:rsid w:val="00A20C81"/>
    <w:rsid w:val="00A302C5"/>
    <w:rsid w:val="00A378D7"/>
    <w:rsid w:val="00A413CB"/>
    <w:rsid w:val="00A55A1D"/>
    <w:rsid w:val="00A63D45"/>
    <w:rsid w:val="00A66540"/>
    <w:rsid w:val="00A76534"/>
    <w:rsid w:val="00A77C68"/>
    <w:rsid w:val="00AB3514"/>
    <w:rsid w:val="00AD1183"/>
    <w:rsid w:val="00AD277D"/>
    <w:rsid w:val="00AD65E5"/>
    <w:rsid w:val="00AF63CA"/>
    <w:rsid w:val="00B11423"/>
    <w:rsid w:val="00B250EF"/>
    <w:rsid w:val="00B30FAD"/>
    <w:rsid w:val="00B312C9"/>
    <w:rsid w:val="00B4362B"/>
    <w:rsid w:val="00B63230"/>
    <w:rsid w:val="00B70AB9"/>
    <w:rsid w:val="00B77C87"/>
    <w:rsid w:val="00B8641E"/>
    <w:rsid w:val="00B95AE6"/>
    <w:rsid w:val="00BE38F3"/>
    <w:rsid w:val="00C00291"/>
    <w:rsid w:val="00C05291"/>
    <w:rsid w:val="00C10C15"/>
    <w:rsid w:val="00C14136"/>
    <w:rsid w:val="00C21003"/>
    <w:rsid w:val="00C2108A"/>
    <w:rsid w:val="00C36B98"/>
    <w:rsid w:val="00C42E87"/>
    <w:rsid w:val="00C53693"/>
    <w:rsid w:val="00C5491C"/>
    <w:rsid w:val="00C556E0"/>
    <w:rsid w:val="00C62A39"/>
    <w:rsid w:val="00C658B5"/>
    <w:rsid w:val="00C7343B"/>
    <w:rsid w:val="00C810FE"/>
    <w:rsid w:val="00C83990"/>
    <w:rsid w:val="00C860AC"/>
    <w:rsid w:val="00C87761"/>
    <w:rsid w:val="00C94C9A"/>
    <w:rsid w:val="00CA5888"/>
    <w:rsid w:val="00CB1D10"/>
    <w:rsid w:val="00CC1507"/>
    <w:rsid w:val="00CD5347"/>
    <w:rsid w:val="00CE598F"/>
    <w:rsid w:val="00CF588B"/>
    <w:rsid w:val="00D05326"/>
    <w:rsid w:val="00D13B97"/>
    <w:rsid w:val="00D20290"/>
    <w:rsid w:val="00D22FBA"/>
    <w:rsid w:val="00D27BC6"/>
    <w:rsid w:val="00D56B30"/>
    <w:rsid w:val="00D719CF"/>
    <w:rsid w:val="00D72F19"/>
    <w:rsid w:val="00D83854"/>
    <w:rsid w:val="00D862AD"/>
    <w:rsid w:val="00DA5EC9"/>
    <w:rsid w:val="00DF6D80"/>
    <w:rsid w:val="00E0642D"/>
    <w:rsid w:val="00E105B9"/>
    <w:rsid w:val="00E12626"/>
    <w:rsid w:val="00E21D08"/>
    <w:rsid w:val="00E2449C"/>
    <w:rsid w:val="00E441AE"/>
    <w:rsid w:val="00E44900"/>
    <w:rsid w:val="00E5286A"/>
    <w:rsid w:val="00E623C2"/>
    <w:rsid w:val="00E63880"/>
    <w:rsid w:val="00E67127"/>
    <w:rsid w:val="00EC3B69"/>
    <w:rsid w:val="00EE5A15"/>
    <w:rsid w:val="00EF3D7B"/>
    <w:rsid w:val="00EF6025"/>
    <w:rsid w:val="00F0519E"/>
    <w:rsid w:val="00F062AD"/>
    <w:rsid w:val="00F2022F"/>
    <w:rsid w:val="00F3707B"/>
    <w:rsid w:val="00F51C6D"/>
    <w:rsid w:val="00F6609A"/>
    <w:rsid w:val="00F9455B"/>
    <w:rsid w:val="00FB5DFB"/>
    <w:rsid w:val="00FD0CC3"/>
    <w:rsid w:val="00FF0C7F"/>
    <w:rsid w:val="00FF26FC"/>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9D92"/>
  <w15:chartTrackingRefBased/>
  <w15:docId w15:val="{A57BE8D1-D165-450D-AF3C-55F4391B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D443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D4431"/>
    <w:pPr>
      <w:keepNext/>
      <w:keepLines/>
      <w:snapToGrid w:val="0"/>
      <w:spacing w:before="360" w:after="240" w:line="240" w:lineRule="auto"/>
      <w:outlineLvl w:val="1"/>
    </w:pPr>
    <w:rPr>
      <w:rFonts w:eastAsiaTheme="majorEastAsia" w:cstheme="majorBidi"/>
      <w:b/>
      <w:color w:val="2F5496" w:themeColor="accent1" w:themeShade="BF"/>
      <w:sz w:val="26"/>
      <w:szCs w:val="26"/>
      <w:lang w:val="en-GB"/>
    </w:rPr>
  </w:style>
  <w:style w:type="paragraph" w:styleId="Heading3">
    <w:name w:val="heading 3"/>
    <w:basedOn w:val="Normal"/>
    <w:next w:val="Normal"/>
    <w:link w:val="Heading3Char"/>
    <w:uiPriority w:val="9"/>
    <w:unhideWhenUsed/>
    <w:qFormat/>
    <w:rsid w:val="005D1006"/>
    <w:pPr>
      <w:keepNext/>
      <w:keepLines/>
      <w:spacing w:before="240" w:after="120"/>
      <w:outlineLvl w:val="2"/>
    </w:pPr>
    <w:rPr>
      <w:rFonts w:eastAsiaTheme="majorEastAsia" w:cstheme="majorBidi"/>
      <w:b/>
      <w:i/>
      <w:color w:val="0070C0"/>
      <w:sz w:val="24"/>
      <w:szCs w:val="24"/>
    </w:rPr>
  </w:style>
  <w:style w:type="paragraph" w:styleId="Heading4">
    <w:name w:val="heading 4"/>
    <w:basedOn w:val="Normal"/>
    <w:next w:val="Normal"/>
    <w:link w:val="Heading4Char"/>
    <w:uiPriority w:val="9"/>
    <w:unhideWhenUsed/>
    <w:qFormat/>
    <w:rsid w:val="005D10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FC"/>
    <w:pPr>
      <w:ind w:left="720"/>
      <w:contextualSpacing/>
    </w:pPr>
  </w:style>
  <w:style w:type="character" w:customStyle="1" w:styleId="Heading1Char">
    <w:name w:val="Heading 1 Char"/>
    <w:basedOn w:val="DefaultParagraphFont"/>
    <w:link w:val="Heading1"/>
    <w:uiPriority w:val="9"/>
    <w:rsid w:val="008D443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D4431"/>
    <w:rPr>
      <w:rFonts w:eastAsiaTheme="majorEastAsia" w:cstheme="majorBidi"/>
      <w:b/>
      <w:color w:val="2F5496" w:themeColor="accent1" w:themeShade="BF"/>
      <w:sz w:val="26"/>
      <w:szCs w:val="26"/>
      <w:lang w:val="en-GB"/>
    </w:rPr>
  </w:style>
  <w:style w:type="paragraph" w:styleId="BalloonText">
    <w:name w:val="Balloon Text"/>
    <w:basedOn w:val="Normal"/>
    <w:link w:val="BalloonTextChar"/>
    <w:uiPriority w:val="99"/>
    <w:semiHidden/>
    <w:unhideWhenUsed/>
    <w:rsid w:val="004A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7D3"/>
    <w:rPr>
      <w:rFonts w:ascii="Segoe UI" w:hAnsi="Segoe UI" w:cs="Segoe UI"/>
      <w:sz w:val="18"/>
      <w:szCs w:val="18"/>
      <w:lang w:val="en-AU"/>
    </w:rPr>
  </w:style>
  <w:style w:type="paragraph" w:styleId="Header">
    <w:name w:val="header"/>
    <w:basedOn w:val="Normal"/>
    <w:link w:val="HeaderChar"/>
    <w:unhideWhenUsed/>
    <w:rsid w:val="00A5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1D"/>
    <w:rPr>
      <w:lang w:val="en-AU"/>
    </w:rPr>
  </w:style>
  <w:style w:type="paragraph" w:styleId="Footer">
    <w:name w:val="footer"/>
    <w:basedOn w:val="Normal"/>
    <w:link w:val="FooterChar"/>
    <w:uiPriority w:val="99"/>
    <w:unhideWhenUsed/>
    <w:rsid w:val="00A5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1D"/>
    <w:rPr>
      <w:lang w:val="en-AU"/>
    </w:rPr>
  </w:style>
  <w:style w:type="character" w:styleId="Hyperlink">
    <w:name w:val="Hyperlink"/>
    <w:basedOn w:val="DefaultParagraphFont"/>
    <w:uiPriority w:val="99"/>
    <w:unhideWhenUsed/>
    <w:rsid w:val="005B79E9"/>
    <w:rPr>
      <w:color w:val="0563C1" w:themeColor="hyperlink"/>
      <w:u w:val="single"/>
    </w:rPr>
  </w:style>
  <w:style w:type="character" w:customStyle="1" w:styleId="UnresolvedMention1">
    <w:name w:val="Unresolved Mention1"/>
    <w:basedOn w:val="DefaultParagraphFont"/>
    <w:uiPriority w:val="99"/>
    <w:semiHidden/>
    <w:unhideWhenUsed/>
    <w:rsid w:val="005B79E9"/>
    <w:rPr>
      <w:color w:val="808080"/>
      <w:shd w:val="clear" w:color="auto" w:fill="E6E6E6"/>
    </w:rPr>
  </w:style>
  <w:style w:type="paragraph" w:customStyle="1" w:styleId="Listbullet1">
    <w:name w:val="List bullet 1"/>
    <w:basedOn w:val="Normal"/>
    <w:rsid w:val="00371938"/>
    <w:pPr>
      <w:numPr>
        <w:numId w:val="11"/>
      </w:numPr>
      <w:spacing w:after="240" w:line="280" w:lineRule="exact"/>
    </w:pPr>
    <w:rPr>
      <w:rFonts w:ascii="Times New Roman" w:eastAsia="Times New Roman" w:hAnsi="Times New Roman" w:cs="Times New Roman"/>
      <w:szCs w:val="20"/>
      <w:lang w:val="en-US"/>
    </w:rPr>
  </w:style>
  <w:style w:type="paragraph" w:styleId="NormalWeb">
    <w:name w:val="Normal (Web)"/>
    <w:basedOn w:val="Normal"/>
    <w:uiPriority w:val="99"/>
    <w:unhideWhenUsed/>
    <w:rsid w:val="002F4737"/>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rsid w:val="00541D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4E58"/>
    <w:pPr>
      <w:autoSpaceDE w:val="0"/>
      <w:autoSpaceDN w:val="0"/>
      <w:adjustRightInd w:val="0"/>
      <w:spacing w:after="0" w:line="240" w:lineRule="auto"/>
    </w:pPr>
    <w:rPr>
      <w:rFonts w:ascii="Georgia" w:eastAsia="Times New Roman" w:hAnsi="Georgia" w:cs="Arial"/>
      <w:b/>
      <w:bCs/>
      <w:sz w:val="20"/>
      <w:szCs w:val="28"/>
      <w:lang w:val="en-US"/>
    </w:rPr>
  </w:style>
  <w:style w:type="character" w:customStyle="1" w:styleId="BodyTextChar">
    <w:name w:val="Body Text Char"/>
    <w:basedOn w:val="DefaultParagraphFont"/>
    <w:link w:val="BodyText"/>
    <w:rsid w:val="002B4E58"/>
    <w:rPr>
      <w:rFonts w:ascii="Georgia" w:eastAsia="Times New Roman" w:hAnsi="Georgia" w:cs="Arial"/>
      <w:b/>
      <w:bCs/>
      <w:sz w:val="20"/>
      <w:szCs w:val="28"/>
    </w:rPr>
  </w:style>
  <w:style w:type="paragraph" w:styleId="BodyText2">
    <w:name w:val="Body Text 2"/>
    <w:basedOn w:val="Normal"/>
    <w:link w:val="BodyText2Char"/>
    <w:rsid w:val="002B4E58"/>
    <w:pPr>
      <w:autoSpaceDE w:val="0"/>
      <w:autoSpaceDN w:val="0"/>
      <w:adjustRightInd w:val="0"/>
      <w:spacing w:after="0" w:line="240" w:lineRule="auto"/>
    </w:pPr>
    <w:rPr>
      <w:rFonts w:ascii="Georgia" w:eastAsia="Times New Roman" w:hAnsi="Georgia" w:cs="Arial"/>
      <w:i/>
      <w:iCs/>
      <w:sz w:val="20"/>
      <w:szCs w:val="28"/>
      <w:lang w:val="en-US"/>
    </w:rPr>
  </w:style>
  <w:style w:type="character" w:customStyle="1" w:styleId="BodyText2Char">
    <w:name w:val="Body Text 2 Char"/>
    <w:basedOn w:val="DefaultParagraphFont"/>
    <w:link w:val="BodyText2"/>
    <w:rsid w:val="002B4E58"/>
    <w:rPr>
      <w:rFonts w:ascii="Georgia" w:eastAsia="Times New Roman" w:hAnsi="Georgia" w:cs="Arial"/>
      <w:i/>
      <w:iCs/>
      <w:sz w:val="20"/>
      <w:szCs w:val="28"/>
    </w:rPr>
  </w:style>
  <w:style w:type="paragraph" w:styleId="BodyText3">
    <w:name w:val="Body Text 3"/>
    <w:basedOn w:val="Normal"/>
    <w:link w:val="BodyText3Char"/>
    <w:rsid w:val="002B4E58"/>
    <w:pPr>
      <w:autoSpaceDE w:val="0"/>
      <w:autoSpaceDN w:val="0"/>
      <w:adjustRightInd w:val="0"/>
      <w:spacing w:after="0" w:line="240" w:lineRule="auto"/>
      <w:jc w:val="center"/>
    </w:pPr>
    <w:rPr>
      <w:rFonts w:ascii="Georgia" w:eastAsia="Times New Roman" w:hAnsi="Georgia" w:cs="Arial"/>
      <w:b/>
      <w:bCs/>
      <w:sz w:val="24"/>
      <w:szCs w:val="28"/>
      <w:lang w:val="en-US"/>
    </w:rPr>
  </w:style>
  <w:style w:type="character" w:customStyle="1" w:styleId="BodyText3Char">
    <w:name w:val="Body Text 3 Char"/>
    <w:basedOn w:val="DefaultParagraphFont"/>
    <w:link w:val="BodyText3"/>
    <w:rsid w:val="002B4E58"/>
    <w:rPr>
      <w:rFonts w:ascii="Georgia" w:eastAsia="Times New Roman" w:hAnsi="Georgia" w:cs="Arial"/>
      <w:b/>
      <w:bCs/>
      <w:sz w:val="24"/>
      <w:szCs w:val="28"/>
    </w:rPr>
  </w:style>
  <w:style w:type="paragraph" w:customStyle="1" w:styleId="Default">
    <w:name w:val="Default"/>
    <w:rsid w:val="00E44900"/>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Title1">
    <w:name w:val="Title1"/>
    <w:basedOn w:val="DefaultParagraphFont"/>
    <w:rsid w:val="00226D33"/>
  </w:style>
  <w:style w:type="paragraph" w:styleId="FootnoteText">
    <w:name w:val="footnote text"/>
    <w:basedOn w:val="Normal"/>
    <w:link w:val="FootnoteTextChar"/>
    <w:uiPriority w:val="99"/>
    <w:semiHidden/>
    <w:unhideWhenUsed/>
    <w:rsid w:val="001D1B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BB2"/>
    <w:rPr>
      <w:sz w:val="20"/>
      <w:szCs w:val="20"/>
      <w:lang w:val="en-AU"/>
    </w:rPr>
  </w:style>
  <w:style w:type="character" w:styleId="FootnoteReference">
    <w:name w:val="footnote reference"/>
    <w:basedOn w:val="DefaultParagraphFont"/>
    <w:uiPriority w:val="99"/>
    <w:semiHidden/>
    <w:unhideWhenUsed/>
    <w:rsid w:val="001D1BB2"/>
    <w:rPr>
      <w:vertAlign w:val="superscript"/>
    </w:rPr>
  </w:style>
  <w:style w:type="character" w:customStyle="1" w:styleId="Heading3Char">
    <w:name w:val="Heading 3 Char"/>
    <w:basedOn w:val="DefaultParagraphFont"/>
    <w:link w:val="Heading3"/>
    <w:uiPriority w:val="9"/>
    <w:rsid w:val="005D1006"/>
    <w:rPr>
      <w:rFonts w:eastAsiaTheme="majorEastAsia" w:cstheme="majorBidi"/>
      <w:b/>
      <w:i/>
      <w:color w:val="0070C0"/>
      <w:sz w:val="24"/>
      <w:szCs w:val="24"/>
      <w:lang w:val="en-AU"/>
    </w:rPr>
  </w:style>
  <w:style w:type="character" w:customStyle="1" w:styleId="Heading4Char">
    <w:name w:val="Heading 4 Char"/>
    <w:basedOn w:val="DefaultParagraphFont"/>
    <w:link w:val="Heading4"/>
    <w:uiPriority w:val="9"/>
    <w:rsid w:val="005D1006"/>
    <w:rPr>
      <w:rFonts w:asciiTheme="majorHAnsi" w:eastAsiaTheme="majorEastAsia" w:hAnsiTheme="majorHAnsi" w:cstheme="majorBidi"/>
      <w:i/>
      <w:iCs/>
      <w:color w:val="2F5496" w:themeColor="accent1" w:themeShade="BF"/>
      <w:lang w:val="en-AU"/>
    </w:rPr>
  </w:style>
  <w:style w:type="character" w:styleId="CommentReference">
    <w:name w:val="annotation reference"/>
    <w:basedOn w:val="DefaultParagraphFont"/>
    <w:uiPriority w:val="99"/>
    <w:semiHidden/>
    <w:unhideWhenUsed/>
    <w:rsid w:val="00D719CF"/>
    <w:rPr>
      <w:sz w:val="16"/>
      <w:szCs w:val="16"/>
    </w:rPr>
  </w:style>
  <w:style w:type="paragraph" w:styleId="CommentText">
    <w:name w:val="annotation text"/>
    <w:basedOn w:val="Normal"/>
    <w:link w:val="CommentTextChar"/>
    <w:uiPriority w:val="99"/>
    <w:semiHidden/>
    <w:unhideWhenUsed/>
    <w:rsid w:val="00D719CF"/>
    <w:pPr>
      <w:spacing w:line="240" w:lineRule="auto"/>
    </w:pPr>
    <w:rPr>
      <w:sz w:val="20"/>
      <w:szCs w:val="20"/>
    </w:rPr>
  </w:style>
  <w:style w:type="character" w:customStyle="1" w:styleId="CommentTextChar">
    <w:name w:val="Comment Text Char"/>
    <w:basedOn w:val="DefaultParagraphFont"/>
    <w:link w:val="CommentText"/>
    <w:uiPriority w:val="99"/>
    <w:semiHidden/>
    <w:rsid w:val="00D719CF"/>
    <w:rPr>
      <w:sz w:val="20"/>
      <w:szCs w:val="20"/>
      <w:lang w:val="en-AU"/>
    </w:rPr>
  </w:style>
  <w:style w:type="paragraph" w:styleId="CommentSubject">
    <w:name w:val="annotation subject"/>
    <w:basedOn w:val="CommentText"/>
    <w:next w:val="CommentText"/>
    <w:link w:val="CommentSubjectChar"/>
    <w:uiPriority w:val="99"/>
    <w:semiHidden/>
    <w:unhideWhenUsed/>
    <w:rsid w:val="00D719CF"/>
    <w:rPr>
      <w:b/>
      <w:bCs/>
    </w:rPr>
  </w:style>
  <w:style w:type="character" w:customStyle="1" w:styleId="CommentSubjectChar">
    <w:name w:val="Comment Subject Char"/>
    <w:basedOn w:val="CommentTextChar"/>
    <w:link w:val="CommentSubject"/>
    <w:uiPriority w:val="99"/>
    <w:semiHidden/>
    <w:rsid w:val="00D719CF"/>
    <w:rPr>
      <w:b/>
      <w:bCs/>
      <w:sz w:val="20"/>
      <w:szCs w:val="20"/>
      <w:lang w:val="en-AU"/>
    </w:rPr>
  </w:style>
  <w:style w:type="character" w:styleId="UnresolvedMention">
    <w:name w:val="Unresolved Mention"/>
    <w:basedOn w:val="DefaultParagraphFont"/>
    <w:uiPriority w:val="99"/>
    <w:semiHidden/>
    <w:unhideWhenUsed/>
    <w:rsid w:val="00C052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7070">
      <w:bodyDiv w:val="1"/>
      <w:marLeft w:val="0"/>
      <w:marRight w:val="0"/>
      <w:marTop w:val="0"/>
      <w:marBottom w:val="0"/>
      <w:divBdr>
        <w:top w:val="none" w:sz="0" w:space="0" w:color="auto"/>
        <w:left w:val="none" w:sz="0" w:space="0" w:color="auto"/>
        <w:bottom w:val="none" w:sz="0" w:space="0" w:color="auto"/>
        <w:right w:val="none" w:sz="0" w:space="0" w:color="auto"/>
      </w:divBdr>
    </w:div>
    <w:div w:id="1489325262">
      <w:bodyDiv w:val="1"/>
      <w:marLeft w:val="0"/>
      <w:marRight w:val="0"/>
      <w:marTop w:val="0"/>
      <w:marBottom w:val="0"/>
      <w:divBdr>
        <w:top w:val="none" w:sz="0" w:space="0" w:color="auto"/>
        <w:left w:val="none" w:sz="0" w:space="0" w:color="auto"/>
        <w:bottom w:val="none" w:sz="0" w:space="0" w:color="auto"/>
        <w:right w:val="none" w:sz="0" w:space="0" w:color="auto"/>
      </w:divBdr>
    </w:div>
    <w:div w:id="1726370309">
      <w:bodyDiv w:val="1"/>
      <w:marLeft w:val="0"/>
      <w:marRight w:val="0"/>
      <w:marTop w:val="0"/>
      <w:marBottom w:val="0"/>
      <w:divBdr>
        <w:top w:val="none" w:sz="0" w:space="0" w:color="auto"/>
        <w:left w:val="none" w:sz="0" w:space="0" w:color="auto"/>
        <w:bottom w:val="none" w:sz="0" w:space="0" w:color="auto"/>
        <w:right w:val="none" w:sz="0" w:space="0" w:color="auto"/>
      </w:divBdr>
    </w:div>
    <w:div w:id="20068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plan.nsw.gov.au/engagement/essentials/spectrum.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myworld2015/org" TargetMode="External"/><Relationship Id="rId3" Type="http://schemas.openxmlformats.org/officeDocument/2006/relationships/hyperlink" Target="http://www.abc.net.au/news/2014-08-11/poll-data-reveals-waning-interest-in-politics/5662568" TargetMode="External"/><Relationship Id="rId7" Type="http://schemas.openxmlformats.org/officeDocument/2006/relationships/hyperlink" Target="http://www.cynnalcymru.com/project/the-wales-we-want/" TargetMode="External"/><Relationship Id="rId2" Type="http://schemas.openxmlformats.org/officeDocument/2006/relationships/hyperlink" Target="http://www.oecd.org/site/worldforum06/istanbulworldforum-measuringandfosteringtheprogressofsocieties.htm" TargetMode="External"/><Relationship Id="rId1" Type="http://schemas.openxmlformats.org/officeDocument/2006/relationships/hyperlink" Target="http://www.andi.org.au" TargetMode="External"/><Relationship Id="rId6" Type="http://schemas.openxmlformats.org/officeDocument/2006/relationships/hyperlink" Target="http://www.ciw.ca" TargetMode="External"/><Relationship Id="rId5" Type="http://schemas.openxmlformats.org/officeDocument/2006/relationships/hyperlink" Target="http://www.aigi.com.au/wp.../07/Communique-Indigenous-Data-Sovereignty-Summit.pdf" TargetMode="External"/><Relationship Id="rId4" Type="http://schemas.openxmlformats.org/officeDocument/2006/relationships/hyperlink" Target="https://www.theguardian.com/business/2017/oct/12/imf-says-australia-has-one-of-the-fastest-rising-income-inequality-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DOC19-445021</ShareHubID>
    <TaxCatchAll xmlns="166541c0-0594-4e6a-9105-c24d4b6de6f7">
      <Value>39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27C931DA-92A9-4302-AA16-BB231AD8B690}">
  <ds:schemaRefs>
    <ds:schemaRef ds:uri="http://schemas.openxmlformats.org/officeDocument/2006/bibliography"/>
  </ds:schemaRefs>
</ds:datastoreItem>
</file>

<file path=customXml/itemProps2.xml><?xml version="1.0" encoding="utf-8"?>
<ds:datastoreItem xmlns:ds="http://schemas.openxmlformats.org/officeDocument/2006/customXml" ds:itemID="{4B2E0635-47A6-40C6-B64B-90F2DCE7C71D}"/>
</file>

<file path=customXml/itemProps3.xml><?xml version="1.0" encoding="utf-8"?>
<ds:datastoreItem xmlns:ds="http://schemas.openxmlformats.org/officeDocument/2006/customXml" ds:itemID="{F90B1BBE-3237-4B80-A981-71EA68F00C92}"/>
</file>

<file path=customXml/itemProps4.xml><?xml version="1.0" encoding="utf-8"?>
<ds:datastoreItem xmlns:ds="http://schemas.openxmlformats.org/officeDocument/2006/customXml" ds:itemID="{C2D34224-AC22-4561-98E5-85049B4A686F}"/>
</file>

<file path=docProps/app.xml><?xml version="1.0" encoding="utf-8"?>
<Properties xmlns="http://schemas.openxmlformats.org/officeDocument/2006/extended-properties" xmlns:vt="http://schemas.openxmlformats.org/officeDocument/2006/docPropsVTypes">
  <Template>Normal</Template>
  <TotalTime>23</TotalTime>
  <Pages>11</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Salvaris</dc:creator>
  <cp:keywords/>
  <dc:description/>
  <cp:lastModifiedBy>Mike Salvaris</cp:lastModifiedBy>
  <cp:revision>4</cp:revision>
  <cp:lastPrinted>2018-07-28T06:35:00Z</cp:lastPrinted>
  <dcterms:created xsi:type="dcterms:W3CDTF">2018-07-31T02:56:00Z</dcterms:created>
  <dcterms:modified xsi:type="dcterms:W3CDTF">2018-07-31T03:19:00Z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39;#Election|4090d51f-fccc-4f41-80dd-86270166a8a3</vt:lpwstr>
  </property>
  <property fmtid="{D5CDD505-2E9C-101B-9397-08002B2CF9AE}" pid="3" name="PMC.ESearch.TagGeneratedTime">
    <vt:lpwstr>2019-12-09T15:40:10</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ies>
</file>